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C8D43" w14:textId="328296D5" w:rsidR="001304F0" w:rsidRDefault="001304F0" w:rsidP="00BA43F8">
      <w:pPr>
        <w:shd w:val="clear" w:color="auto" w:fill="FFFFFF"/>
        <w:spacing w:after="100" w:afterAutospacing="1" w:line="240" w:lineRule="auto"/>
        <w:jc w:val="both"/>
        <w:outlineLvl w:val="0"/>
        <w:rPr>
          <w:rFonts w:eastAsia="Times New Roman" w:cstheme="minorHAnsi"/>
          <w:b/>
          <w:bCs/>
          <w:color w:val="151515"/>
          <w:sz w:val="24"/>
          <w:szCs w:val="24"/>
          <w:lang w:eastAsia="es-ES"/>
        </w:rPr>
      </w:pPr>
      <w:r w:rsidRPr="001304F0">
        <w:rPr>
          <w:rFonts w:eastAsia="Times New Roman" w:cstheme="minorHAnsi"/>
          <w:b/>
          <w:bCs/>
          <w:color w:val="151515"/>
          <w:sz w:val="24"/>
          <w:szCs w:val="24"/>
          <w:lang w:eastAsia="es-ES"/>
        </w:rPr>
        <w:t>LA IMPORTANCIA DE LA EVALUACIÓN REPRODUCTIVA DEL TORO</w:t>
      </w:r>
    </w:p>
    <w:p w14:paraId="4BEAB3F7" w14:textId="28710E07" w:rsidR="006456CC" w:rsidRPr="00D32CD1" w:rsidRDefault="006456CC" w:rsidP="00D32CD1">
      <w:pPr>
        <w:autoSpaceDE w:val="0"/>
        <w:autoSpaceDN w:val="0"/>
        <w:adjustRightInd w:val="0"/>
        <w:spacing w:after="0" w:line="240" w:lineRule="auto"/>
        <w:outlineLvl w:val="0"/>
        <w:rPr>
          <w:rFonts w:cstheme="minorHAnsi"/>
          <w:b/>
          <w:i/>
        </w:rPr>
      </w:pPr>
      <w:r w:rsidRPr="00D32CD1">
        <w:rPr>
          <w:rFonts w:cstheme="minorHAnsi"/>
          <w:b/>
          <w:i/>
        </w:rPr>
        <w:t>Giovanni Montoya</w:t>
      </w:r>
      <w:r w:rsidR="00D32CD1">
        <w:rPr>
          <w:rFonts w:cstheme="minorHAnsi"/>
          <w:b/>
          <w:i/>
        </w:rPr>
        <w:t xml:space="preserve"> </w:t>
      </w:r>
      <w:bookmarkStart w:id="0" w:name="_GoBack"/>
      <w:bookmarkEnd w:id="0"/>
      <w:r w:rsidR="00D32CD1">
        <w:rPr>
          <w:rFonts w:cstheme="minorHAnsi"/>
          <w:b/>
          <w:i/>
        </w:rPr>
        <w:t xml:space="preserve">- </w:t>
      </w:r>
      <w:r w:rsidRPr="00D32CD1">
        <w:rPr>
          <w:rFonts w:cstheme="minorHAnsi"/>
          <w:b/>
          <w:i/>
        </w:rPr>
        <w:t>Técnico Veterinario de Vacuno Reproductor, MSD Animal Health</w:t>
      </w:r>
    </w:p>
    <w:p w14:paraId="1457036B" w14:textId="7CE2EB7D" w:rsidR="001304F0" w:rsidRPr="00D32CD1" w:rsidRDefault="006456CC" w:rsidP="006456CC">
      <w:pPr>
        <w:autoSpaceDE w:val="0"/>
        <w:autoSpaceDN w:val="0"/>
        <w:adjustRightInd w:val="0"/>
        <w:spacing w:after="0" w:line="240" w:lineRule="auto"/>
        <w:rPr>
          <w:rFonts w:cstheme="minorHAnsi"/>
          <w:b/>
          <w:i/>
        </w:rPr>
      </w:pPr>
      <w:r w:rsidRPr="00D32CD1">
        <w:rPr>
          <w:rFonts w:cstheme="minorHAnsi"/>
          <w:b/>
          <w:i/>
        </w:rPr>
        <w:t xml:space="preserve">Laura Elvira Partida </w:t>
      </w:r>
      <w:r w:rsidR="00D32CD1">
        <w:rPr>
          <w:rFonts w:cstheme="minorHAnsi"/>
          <w:b/>
          <w:i/>
        </w:rPr>
        <w:t xml:space="preserve">- </w:t>
      </w:r>
      <w:r w:rsidRPr="00D32CD1">
        <w:rPr>
          <w:rFonts w:cstheme="minorHAnsi"/>
          <w:b/>
          <w:i/>
        </w:rPr>
        <w:t>Directora Técnica de Rumiantes de MSD Animal Health</w:t>
      </w:r>
    </w:p>
    <w:p w14:paraId="2C81BB70" w14:textId="77777777" w:rsidR="006456CC" w:rsidRPr="006456CC" w:rsidRDefault="006456CC" w:rsidP="006456CC">
      <w:pPr>
        <w:autoSpaceDE w:val="0"/>
        <w:autoSpaceDN w:val="0"/>
        <w:adjustRightInd w:val="0"/>
        <w:spacing w:after="0" w:line="240" w:lineRule="auto"/>
        <w:rPr>
          <w:rFonts w:cstheme="minorHAnsi"/>
          <w:i/>
        </w:rPr>
      </w:pPr>
    </w:p>
    <w:p w14:paraId="5C94D466" w14:textId="2CF318DC" w:rsidR="001304F0" w:rsidRPr="001304F0" w:rsidRDefault="001304F0" w:rsidP="001304F0">
      <w:pPr>
        <w:shd w:val="clear" w:color="auto" w:fill="FFFFFF"/>
        <w:spacing w:after="100" w:afterAutospacing="1" w:line="240" w:lineRule="auto"/>
        <w:jc w:val="both"/>
        <w:rPr>
          <w:rFonts w:eastAsia="Times New Roman" w:cstheme="minorHAnsi"/>
          <w:color w:val="151515"/>
          <w:lang w:eastAsia="es-ES"/>
        </w:rPr>
      </w:pPr>
      <w:r w:rsidRPr="001304F0">
        <w:rPr>
          <w:rFonts w:eastAsia="Times New Roman" w:cstheme="minorHAnsi"/>
          <w:color w:val="151515"/>
          <w:lang w:eastAsia="es-ES"/>
        </w:rPr>
        <w:t>El </w:t>
      </w:r>
      <w:r w:rsidRPr="001304F0">
        <w:rPr>
          <w:rFonts w:eastAsia="Times New Roman" w:cstheme="minorHAnsi"/>
          <w:b/>
          <w:bCs/>
          <w:color w:val="151515"/>
          <w:lang w:eastAsia="es-ES"/>
        </w:rPr>
        <w:t>ganado de vacuno extensivo</w:t>
      </w:r>
      <w:r w:rsidRPr="001304F0">
        <w:rPr>
          <w:rFonts w:eastAsia="Times New Roman" w:cstheme="minorHAnsi"/>
          <w:color w:val="151515"/>
          <w:lang w:eastAsia="es-ES"/>
        </w:rPr>
        <w:t xml:space="preserve">, con </w:t>
      </w:r>
      <w:r w:rsidR="002C5756">
        <w:rPr>
          <w:rFonts w:eastAsia="Times New Roman" w:cstheme="minorHAnsi"/>
          <w:color w:val="151515"/>
          <w:lang w:eastAsia="es-ES"/>
        </w:rPr>
        <w:t>2,14</w:t>
      </w:r>
      <w:r w:rsidRPr="001304F0">
        <w:rPr>
          <w:rFonts w:eastAsia="Times New Roman" w:cstheme="minorHAnsi"/>
          <w:color w:val="151515"/>
          <w:lang w:eastAsia="es-ES"/>
        </w:rPr>
        <w:t xml:space="preserve"> millones de vacas nodrizas </w:t>
      </w:r>
      <w:r w:rsidR="002C5756">
        <w:rPr>
          <w:rFonts w:eastAsia="Times New Roman" w:cstheme="minorHAnsi"/>
          <w:color w:val="151515"/>
          <w:lang w:eastAsia="es-ES"/>
        </w:rPr>
        <w:t xml:space="preserve">(entre 2 y 14 años de edad) </w:t>
      </w:r>
      <w:r w:rsidRPr="001304F0">
        <w:rPr>
          <w:rFonts w:eastAsia="Times New Roman" w:cstheme="minorHAnsi"/>
          <w:color w:val="151515"/>
          <w:lang w:eastAsia="es-ES"/>
        </w:rPr>
        <w:t>ubicadas mayoritariamente en la Dehesa y Galicia, tiene un </w:t>
      </w:r>
      <w:r w:rsidRPr="001304F0">
        <w:rPr>
          <w:rFonts w:eastAsia="Times New Roman" w:cstheme="minorHAnsi"/>
          <w:b/>
          <w:bCs/>
          <w:color w:val="151515"/>
          <w:lang w:eastAsia="es-ES"/>
        </w:rPr>
        <w:t>relevante peso económico </w:t>
      </w:r>
      <w:r w:rsidRPr="001304F0">
        <w:rPr>
          <w:rFonts w:eastAsia="Times New Roman" w:cstheme="minorHAnsi"/>
          <w:color w:val="151515"/>
          <w:lang w:eastAsia="es-ES"/>
        </w:rPr>
        <w:t>dentro de la producción final ganadera española (</w:t>
      </w:r>
      <w:r w:rsidR="00BA43F8">
        <w:rPr>
          <w:rFonts w:eastAsia="Times New Roman" w:cstheme="minorHAnsi"/>
          <w:color w:val="151515"/>
          <w:lang w:eastAsia="es-ES"/>
        </w:rPr>
        <w:t>Ministerio de Agricultura, Pesca y Alimentación -MAPA</w:t>
      </w:r>
      <w:r w:rsidRPr="001304F0">
        <w:rPr>
          <w:rFonts w:eastAsia="Times New Roman" w:cstheme="minorHAnsi"/>
          <w:color w:val="151515"/>
          <w:lang w:eastAsia="es-ES"/>
        </w:rPr>
        <w:t xml:space="preserve"> 20</w:t>
      </w:r>
      <w:r w:rsidR="002E48C4">
        <w:rPr>
          <w:rFonts w:eastAsia="Times New Roman" w:cstheme="minorHAnsi"/>
          <w:color w:val="151515"/>
          <w:lang w:eastAsia="es-ES"/>
        </w:rPr>
        <w:t>2</w:t>
      </w:r>
      <w:r w:rsidR="002C5756">
        <w:rPr>
          <w:rFonts w:eastAsia="Times New Roman" w:cstheme="minorHAnsi"/>
          <w:color w:val="151515"/>
          <w:lang w:eastAsia="es-ES"/>
        </w:rPr>
        <w:t>0</w:t>
      </w:r>
      <w:r w:rsidRPr="001304F0">
        <w:rPr>
          <w:rFonts w:eastAsia="Times New Roman" w:cstheme="minorHAnsi"/>
          <w:color w:val="151515"/>
          <w:lang w:eastAsia="es-ES"/>
        </w:rPr>
        <w:t>). Sin embargo, gran parte de las explotaciones presentan un importante </w:t>
      </w:r>
      <w:r w:rsidRPr="001304F0">
        <w:rPr>
          <w:rFonts w:eastAsia="Times New Roman" w:cstheme="minorHAnsi"/>
          <w:b/>
          <w:bCs/>
          <w:color w:val="151515"/>
          <w:lang w:eastAsia="es-ES"/>
        </w:rPr>
        <w:t>margen de mejora a nivel productivo</w:t>
      </w:r>
      <w:r w:rsidRPr="001304F0">
        <w:rPr>
          <w:rFonts w:eastAsia="Times New Roman" w:cstheme="minorHAnsi"/>
          <w:color w:val="151515"/>
          <w:lang w:eastAsia="es-ES"/>
        </w:rPr>
        <w:t>, y muy especialmente </w:t>
      </w:r>
      <w:r w:rsidRPr="001304F0">
        <w:rPr>
          <w:rFonts w:eastAsia="Times New Roman" w:cstheme="minorHAnsi"/>
          <w:b/>
          <w:bCs/>
          <w:color w:val="151515"/>
          <w:lang w:eastAsia="es-ES"/>
        </w:rPr>
        <w:t>a nivel reproductivo</w:t>
      </w:r>
      <w:r w:rsidRPr="001304F0">
        <w:rPr>
          <w:rFonts w:eastAsia="Times New Roman" w:cstheme="minorHAnsi"/>
          <w:color w:val="151515"/>
          <w:lang w:eastAsia="es-ES"/>
        </w:rPr>
        <w:t>.</w:t>
      </w:r>
    </w:p>
    <w:p w14:paraId="54A53A39" w14:textId="11855BCE" w:rsidR="001304F0" w:rsidRPr="001304F0" w:rsidRDefault="001304F0" w:rsidP="001304F0">
      <w:pPr>
        <w:shd w:val="clear" w:color="auto" w:fill="FFFFFF"/>
        <w:spacing w:after="100" w:afterAutospacing="1" w:line="240" w:lineRule="auto"/>
        <w:jc w:val="both"/>
        <w:rPr>
          <w:rFonts w:eastAsia="Times New Roman" w:cstheme="minorHAnsi"/>
          <w:color w:val="151515"/>
          <w:lang w:eastAsia="es-ES"/>
        </w:rPr>
      </w:pPr>
      <w:r w:rsidRPr="001304F0">
        <w:rPr>
          <w:rFonts w:eastAsia="Times New Roman" w:cstheme="minorHAnsi"/>
          <w:color w:val="151515"/>
          <w:lang w:eastAsia="es-ES"/>
        </w:rPr>
        <w:t>Así lo ponen de manifiesto las estadísticas oficiales con una fertilidad nacional media del 6</w:t>
      </w:r>
      <w:r w:rsidR="002C5756">
        <w:rPr>
          <w:rFonts w:eastAsia="Times New Roman" w:cstheme="minorHAnsi"/>
          <w:color w:val="151515"/>
          <w:lang w:eastAsia="es-ES"/>
        </w:rPr>
        <w:t>9,5</w:t>
      </w:r>
      <w:r w:rsidRPr="001304F0">
        <w:rPr>
          <w:rFonts w:eastAsia="Times New Roman" w:cstheme="minorHAnsi"/>
          <w:color w:val="151515"/>
          <w:lang w:eastAsia="es-ES"/>
        </w:rPr>
        <w:t xml:space="preserve">% frente al 82,5% a nivel </w:t>
      </w:r>
      <w:r w:rsidR="00BA43F8">
        <w:rPr>
          <w:rFonts w:eastAsia="Times New Roman" w:cstheme="minorHAnsi"/>
          <w:color w:val="151515"/>
          <w:lang w:eastAsia="es-ES"/>
        </w:rPr>
        <w:t>europeo (Eurostat, 2011; MAPA</w:t>
      </w:r>
      <w:r w:rsidRPr="001304F0">
        <w:rPr>
          <w:rFonts w:eastAsia="Times New Roman" w:cstheme="minorHAnsi"/>
          <w:color w:val="151515"/>
          <w:lang w:eastAsia="es-ES"/>
        </w:rPr>
        <w:t>, 20</w:t>
      </w:r>
      <w:r w:rsidR="002C5756">
        <w:rPr>
          <w:rFonts w:eastAsia="Times New Roman" w:cstheme="minorHAnsi"/>
          <w:color w:val="151515"/>
          <w:lang w:eastAsia="es-ES"/>
        </w:rPr>
        <w:t>20</w:t>
      </w:r>
      <w:r w:rsidRPr="001304F0">
        <w:rPr>
          <w:rFonts w:eastAsia="Times New Roman" w:cstheme="minorHAnsi"/>
          <w:color w:val="151515"/>
          <w:lang w:eastAsia="es-ES"/>
        </w:rPr>
        <w:t>); un reducido número de terneros producidos a lo largo de la vida productiva de las vacas (</w:t>
      </w:r>
      <w:r w:rsidR="002C5756">
        <w:rPr>
          <w:rFonts w:eastAsia="Times New Roman" w:cstheme="minorHAnsi"/>
          <w:color w:val="151515"/>
          <w:lang w:eastAsia="es-ES"/>
        </w:rPr>
        <w:t>9</w:t>
      </w:r>
      <w:r w:rsidRPr="001304F0">
        <w:rPr>
          <w:rFonts w:eastAsia="Times New Roman" w:cstheme="minorHAnsi"/>
          <w:color w:val="151515"/>
          <w:lang w:eastAsia="es-ES"/>
        </w:rPr>
        <w:t>,</w:t>
      </w:r>
      <w:r w:rsidR="002C5756">
        <w:rPr>
          <w:rFonts w:eastAsia="Times New Roman" w:cstheme="minorHAnsi"/>
          <w:color w:val="151515"/>
          <w:lang w:eastAsia="es-ES"/>
        </w:rPr>
        <w:t>06</w:t>
      </w:r>
      <w:r w:rsidRPr="001304F0">
        <w:rPr>
          <w:rFonts w:eastAsia="Times New Roman" w:cstheme="minorHAnsi"/>
          <w:color w:val="151515"/>
          <w:lang w:eastAsia="es-ES"/>
        </w:rPr>
        <w:t xml:space="preserve"> terneros) y un intervalo entre partos excesivamente largo (4</w:t>
      </w:r>
      <w:r w:rsidR="002C5756">
        <w:rPr>
          <w:rFonts w:eastAsia="Times New Roman" w:cstheme="minorHAnsi"/>
          <w:color w:val="151515"/>
          <w:lang w:eastAsia="es-ES"/>
        </w:rPr>
        <w:t>53,91</w:t>
      </w:r>
      <w:r w:rsidR="00BA43F8">
        <w:rPr>
          <w:rFonts w:eastAsia="Times New Roman" w:cstheme="minorHAnsi"/>
          <w:color w:val="151515"/>
          <w:lang w:eastAsia="es-ES"/>
        </w:rPr>
        <w:t xml:space="preserve"> días) (MAP</w:t>
      </w:r>
      <w:r w:rsidRPr="001304F0">
        <w:rPr>
          <w:rFonts w:eastAsia="Times New Roman" w:cstheme="minorHAnsi"/>
          <w:color w:val="151515"/>
          <w:lang w:eastAsia="es-ES"/>
        </w:rPr>
        <w:t>A, 20</w:t>
      </w:r>
      <w:r w:rsidR="002C5756">
        <w:rPr>
          <w:rFonts w:eastAsia="Times New Roman" w:cstheme="minorHAnsi"/>
          <w:color w:val="151515"/>
          <w:lang w:eastAsia="es-ES"/>
        </w:rPr>
        <w:t>20</w:t>
      </w:r>
      <w:r w:rsidRPr="001304F0">
        <w:rPr>
          <w:rFonts w:eastAsia="Times New Roman" w:cstheme="minorHAnsi"/>
          <w:color w:val="151515"/>
          <w:lang w:eastAsia="es-ES"/>
        </w:rPr>
        <w:t>).</w:t>
      </w:r>
    </w:p>
    <w:p w14:paraId="61B78F7F" w14:textId="1A0440E8" w:rsidR="001304F0" w:rsidRPr="001304F0" w:rsidRDefault="001304F0" w:rsidP="001304F0">
      <w:pPr>
        <w:shd w:val="clear" w:color="auto" w:fill="FFFFFF"/>
        <w:spacing w:after="100" w:afterAutospacing="1" w:line="240" w:lineRule="auto"/>
        <w:jc w:val="both"/>
        <w:rPr>
          <w:rFonts w:eastAsia="Times New Roman" w:cstheme="minorHAnsi"/>
          <w:color w:val="151515"/>
          <w:lang w:eastAsia="es-ES"/>
        </w:rPr>
      </w:pPr>
      <w:r w:rsidRPr="001304F0">
        <w:rPr>
          <w:rFonts w:eastAsia="Times New Roman" w:cstheme="minorHAnsi"/>
          <w:noProof/>
          <w:color w:val="151515"/>
          <w:lang w:val="es-ES_tradnl" w:eastAsia="es-ES_tradnl"/>
        </w:rPr>
        <w:drawing>
          <wp:anchor distT="0" distB="0" distL="114300" distR="114300" simplePos="0" relativeHeight="251658240" behindDoc="0" locked="0" layoutInCell="1" allowOverlap="1" wp14:anchorId="5C492771" wp14:editId="08710423">
            <wp:simplePos x="0" y="0"/>
            <wp:positionH relativeFrom="margin">
              <wp:posOffset>1983105</wp:posOffset>
            </wp:positionH>
            <wp:positionV relativeFrom="margin">
              <wp:posOffset>2658745</wp:posOffset>
            </wp:positionV>
            <wp:extent cx="3470910" cy="23088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0910" cy="2308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04F0">
        <w:rPr>
          <w:rFonts w:eastAsia="Times New Roman" w:cstheme="minorHAnsi"/>
          <w:color w:val="151515"/>
          <w:lang w:eastAsia="es-ES"/>
        </w:rPr>
        <w:t>El principal objetivo de la ganadería de vacuno extensivo es producir el mayor número de terneros destetados por vaca y año. Sin embargo, debido a la baja fertilidad de la mayor parte de las explotaciones, éstas encuentran comprometida su principal fuente de ingresos: la venta de terneros, y con ello, su rentabilidad. Varios estudios económicos indican que bajo nuestras condiciones de producción sería necesaria una </w:t>
      </w:r>
      <w:r w:rsidRPr="001304F0">
        <w:rPr>
          <w:rFonts w:eastAsia="Times New Roman" w:cstheme="minorHAnsi"/>
          <w:b/>
          <w:bCs/>
          <w:color w:val="151515"/>
          <w:lang w:eastAsia="es-ES"/>
        </w:rPr>
        <w:t>tasa de fertilidad mínima del 82% </w:t>
      </w:r>
      <w:r w:rsidRPr="001304F0">
        <w:rPr>
          <w:rFonts w:eastAsia="Times New Roman" w:cstheme="minorHAnsi"/>
          <w:color w:val="151515"/>
          <w:lang w:eastAsia="es-ES"/>
        </w:rPr>
        <w:t>para alcanzar el umbral de rentabilidad (Jimeno y Castro, 2014), lo que dista del 6</w:t>
      </w:r>
      <w:r w:rsidR="002B2FA9">
        <w:rPr>
          <w:rFonts w:eastAsia="Times New Roman" w:cstheme="minorHAnsi"/>
          <w:color w:val="151515"/>
          <w:lang w:eastAsia="es-ES"/>
        </w:rPr>
        <w:t>9,5</w:t>
      </w:r>
      <w:r w:rsidRPr="001304F0">
        <w:rPr>
          <w:rFonts w:eastAsia="Times New Roman" w:cstheme="minorHAnsi"/>
          <w:color w:val="151515"/>
          <w:lang w:eastAsia="es-ES"/>
        </w:rPr>
        <w:t>% de la media actual.</w:t>
      </w:r>
    </w:p>
    <w:p w14:paraId="5A08DF77" w14:textId="491086EE" w:rsidR="001304F0" w:rsidRPr="001304F0" w:rsidRDefault="001304F0" w:rsidP="001304F0">
      <w:pPr>
        <w:shd w:val="clear" w:color="auto" w:fill="FFFFFF"/>
        <w:spacing w:after="0" w:line="240" w:lineRule="auto"/>
        <w:jc w:val="center"/>
        <w:rPr>
          <w:rFonts w:eastAsia="Times New Roman" w:cstheme="minorHAnsi"/>
          <w:color w:val="151515"/>
          <w:lang w:eastAsia="es-ES"/>
        </w:rPr>
      </w:pPr>
    </w:p>
    <w:p w14:paraId="2171BA64" w14:textId="79D019F5" w:rsidR="001304F0" w:rsidRPr="001304F0" w:rsidRDefault="001304F0" w:rsidP="001304F0">
      <w:pPr>
        <w:shd w:val="clear" w:color="auto" w:fill="FFFFFF"/>
        <w:spacing w:after="100" w:afterAutospacing="1" w:line="240" w:lineRule="auto"/>
        <w:jc w:val="both"/>
        <w:rPr>
          <w:rFonts w:eastAsia="Times New Roman" w:cstheme="minorHAnsi"/>
          <w:color w:val="151515"/>
          <w:lang w:eastAsia="es-ES"/>
        </w:rPr>
      </w:pPr>
      <w:r w:rsidRPr="001304F0">
        <w:rPr>
          <w:rFonts w:eastAsia="Times New Roman" w:cstheme="minorHAnsi"/>
          <w:color w:val="151515"/>
          <w:lang w:eastAsia="es-ES"/>
        </w:rPr>
        <w:t>A la hora de mejorar la fertilidad de los rebaños será necesario un abordaje multidisciplinar que incluya la sanidad, el manejo reproductivo y la nutrición de los rebaños. Dentro del manejo reproductivo, dado que en nuestro país la mayor parte de las explotaciones basan la reproducción en la monta natural, </w:t>
      </w:r>
      <w:r w:rsidRPr="001304F0">
        <w:rPr>
          <w:rFonts w:eastAsia="Times New Roman" w:cstheme="minorHAnsi"/>
          <w:b/>
          <w:bCs/>
          <w:color w:val="151515"/>
          <w:lang w:eastAsia="es-ES"/>
        </w:rPr>
        <w:t>el semental resulta de suma importancia</w:t>
      </w:r>
      <w:r w:rsidRPr="001304F0">
        <w:rPr>
          <w:rFonts w:eastAsia="Times New Roman" w:cstheme="minorHAnsi"/>
          <w:color w:val="151515"/>
          <w:lang w:eastAsia="es-ES"/>
        </w:rPr>
        <w:t>. Y es que la presencia de un semental no apto repercutirá muy negativamente en la fertilidad del rebaño.</w:t>
      </w:r>
    </w:p>
    <w:p w14:paraId="3A8A8E1B" w14:textId="58B4834B" w:rsidR="00A27754" w:rsidRDefault="001304F0" w:rsidP="001304F0">
      <w:pPr>
        <w:shd w:val="clear" w:color="auto" w:fill="FFFFFF"/>
        <w:spacing w:after="100" w:afterAutospacing="1" w:line="240" w:lineRule="auto"/>
        <w:jc w:val="both"/>
        <w:rPr>
          <w:rFonts w:eastAsia="Times New Roman" w:cstheme="minorHAnsi"/>
          <w:color w:val="151515"/>
          <w:lang w:eastAsia="es-ES"/>
        </w:rPr>
      </w:pPr>
      <w:r w:rsidRPr="001304F0">
        <w:rPr>
          <w:rFonts w:eastAsia="Times New Roman" w:cstheme="minorHAnsi"/>
          <w:noProof/>
          <w:color w:val="151515"/>
          <w:lang w:val="es-ES_tradnl" w:eastAsia="es-ES_tradnl"/>
        </w:rPr>
        <mc:AlternateContent>
          <mc:Choice Requires="wps">
            <w:drawing>
              <wp:anchor distT="45720" distB="45720" distL="114300" distR="114300" simplePos="0" relativeHeight="251660288" behindDoc="0" locked="0" layoutInCell="1" allowOverlap="1" wp14:anchorId="560C9463" wp14:editId="734F47BB">
                <wp:simplePos x="0" y="0"/>
                <wp:positionH relativeFrom="column">
                  <wp:posOffset>611505</wp:posOffset>
                </wp:positionH>
                <wp:positionV relativeFrom="paragraph">
                  <wp:posOffset>822325</wp:posOffset>
                </wp:positionV>
                <wp:extent cx="4381500" cy="548640"/>
                <wp:effectExtent l="0" t="0" r="0" b="381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48640"/>
                        </a:xfrm>
                        <a:prstGeom prst="rect">
                          <a:avLst/>
                        </a:prstGeom>
                        <a:solidFill>
                          <a:srgbClr val="00877C"/>
                        </a:solidFill>
                        <a:ln w="9525">
                          <a:noFill/>
                          <a:miter lim="800000"/>
                          <a:headEnd/>
                          <a:tailEnd/>
                        </a:ln>
                      </wps:spPr>
                      <wps:txbx>
                        <w:txbxContent>
                          <w:p w14:paraId="1C3E8C07" w14:textId="4364246F" w:rsidR="001304F0" w:rsidRPr="001304F0" w:rsidRDefault="001304F0" w:rsidP="001304F0">
                            <w:pPr>
                              <w:jc w:val="center"/>
                              <w:rPr>
                                <w:b/>
                                <w:bCs/>
                                <w:color w:val="FFFFFF" w:themeColor="background1"/>
                              </w:rPr>
                            </w:pPr>
                            <w:r w:rsidRPr="001304F0">
                              <w:rPr>
                                <w:b/>
                                <w:bCs/>
                                <w:color w:val="FFFFFF" w:themeColor="background1"/>
                              </w:rPr>
                              <w:t>La valoración sanitaria de los sementales es un punto clave en la toma de decisiones, tanto de compra como de manejo en la explotación</w:t>
                            </w:r>
                          </w:p>
                          <w:p w14:paraId="1AFDDF5C" w14:textId="37BF5D1E" w:rsidR="001304F0" w:rsidRPr="001304F0" w:rsidRDefault="001304F0" w:rsidP="001304F0">
                            <w:pPr>
                              <w:jc w:val="center"/>
                              <w:rPr>
                                <w:b/>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0C9463" id="_x0000_t202" coordsize="21600,21600" o:spt="202" path="m,l,21600r21600,l21600,xe">
                <v:stroke joinstyle="miter"/>
                <v:path gradientshapeok="t" o:connecttype="rect"/>
              </v:shapetype>
              <v:shape id="Cuadro de texto 2" o:spid="_x0000_s1026" type="#_x0000_t202" style="position:absolute;left:0;text-align:left;margin-left:48.15pt;margin-top:64.75pt;width:345pt;height:43.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8qEAIAAPYDAAAOAAAAZHJzL2Uyb0RvYy54bWysk81u2zAMx+8D9g6C7oudLGlSI07Rpesw&#10;oPsAuj2ALMuxMFnUKCV29vSl5DQNutswHwTRpP4if6TWN0Nn2EGh12BLPp3knCkrodZ2V/KfP+7f&#10;rTjzQdhaGLCq5Efl+c3m7Zt17wo1gxZMrZCRiPVF70rehuCKLPOyVZ3wE3DKkrMB7EQgE3dZjaIn&#10;9c5kszy/ynrA2iFI5T39vRudfJP0m0bJ8K1pvArMlJxyC2nFtFZxzTZrUexQuFbLUxriH7LohLZ0&#10;6VnqTgTB9qj/kuq0RPDQhImELoOm0VKlGqiaaf6qmsdWOJVqITjenTH5/ycrvx4e3XdkYfgAAzUw&#10;FeHdA8hfnlnYtsLu1C0i9K0SNV08jciy3vnidDSi9oWPIlX/BWpqstgHSEJDg12kQnUyUqcGHM/Q&#10;1RCYpJ/z96vpIieXJN9ivrqap65kong+7dCHTwo6FjclR2pqUheHBx9iNqJ4DomXeTC6vtfGJAN3&#10;1dYgO4g4APlqudymAl6FGcv6kl8vZoukbCGeT7PR6UADanRX8lUev3FkIo2Ptk4hQWgz7ikTY094&#10;IpGRTRiqgQIjpgrqI4FCGAeRHg5tWsA/nPU0hCX3v/cCFWfmsyXY19M50WAhGfPFckYGXnqqS4+w&#10;kqRKHjgbt9uQJj1ysHBLTWl04vWSySlXGq6E8fQQ4vRe2inq5blungAAAP//AwBQSwMEFAAGAAgA&#10;AAAhAPePuDzhAAAACgEAAA8AAABkcnMvZG93bnJldi54bWxMj8FOg0AQhu8mvsNmTLzZpSi0IEtT&#10;TUzqwYNVD94WdgpEdpawW4o+vdOTHuefL/98U2xm24sJR985UrBcRCCQamc6ahS8vz3drEH4oMno&#10;3hEq+EYPm/LyotC5cSd6xWkfGsEl5HOtoA1hyKX0dYtW+4UbkHh3cKPVgcexkWbUJy63vYyjKJVW&#10;d8QXWj3gY4v11/5oFdifZHjeHpqPaZXs0pfPh12VJXdKXV/N23sQAefwB8NZn9WhZKfKHcl40SvI&#10;0lsmOY+zBAQDq/U5qRTEyyQDWRby/wvlLwAAAP//AwBQSwECLQAUAAYACAAAACEAtoM4kv4AAADh&#10;AQAAEwAAAAAAAAAAAAAAAAAAAAAAW0NvbnRlbnRfVHlwZXNdLnhtbFBLAQItABQABgAIAAAAIQA4&#10;/SH/1gAAAJQBAAALAAAAAAAAAAAAAAAAAC8BAABfcmVscy8ucmVsc1BLAQItABQABgAIAAAAIQBq&#10;u/8qEAIAAPYDAAAOAAAAAAAAAAAAAAAAAC4CAABkcnMvZTJvRG9jLnhtbFBLAQItABQABgAIAAAA&#10;IQD3j7g84QAAAAoBAAAPAAAAAAAAAAAAAAAAAGoEAABkcnMvZG93bnJldi54bWxQSwUGAAAAAAQA&#10;BADzAAAAeAUAAAAA&#10;" fillcolor="#00877c" stroked="f">
                <v:textbox>
                  <w:txbxContent>
                    <w:p w14:paraId="1C3E8C07" w14:textId="4364246F" w:rsidR="001304F0" w:rsidRPr="001304F0" w:rsidRDefault="001304F0" w:rsidP="001304F0">
                      <w:pPr>
                        <w:jc w:val="center"/>
                        <w:rPr>
                          <w:b/>
                          <w:bCs/>
                          <w:color w:val="FFFFFF" w:themeColor="background1"/>
                        </w:rPr>
                      </w:pPr>
                      <w:r w:rsidRPr="001304F0">
                        <w:rPr>
                          <w:b/>
                          <w:bCs/>
                          <w:color w:val="FFFFFF" w:themeColor="background1"/>
                        </w:rPr>
                        <w:t>La valoración sanitaria de los sementales es un punto clave en la toma de decisiones, tanto de compra como de manejo en la explotación</w:t>
                      </w:r>
                    </w:p>
                    <w:p w14:paraId="1AFDDF5C" w14:textId="37BF5D1E" w:rsidR="001304F0" w:rsidRPr="001304F0" w:rsidRDefault="001304F0" w:rsidP="001304F0">
                      <w:pPr>
                        <w:jc w:val="center"/>
                        <w:rPr>
                          <w:b/>
                          <w:bCs/>
                          <w:color w:val="FFFFFF" w:themeColor="background1"/>
                        </w:rPr>
                      </w:pPr>
                    </w:p>
                  </w:txbxContent>
                </v:textbox>
                <w10:wrap type="square"/>
              </v:shape>
            </w:pict>
          </mc:Fallback>
        </mc:AlternateContent>
      </w:r>
      <w:r w:rsidRPr="001304F0">
        <w:rPr>
          <w:rFonts w:eastAsia="Times New Roman" w:cstheme="minorHAnsi"/>
          <w:color w:val="151515"/>
          <w:lang w:eastAsia="es-ES"/>
        </w:rPr>
        <w:t>A pesar de ello, en numerosas explotaciones el toro ha estado por mucho tiempo en un segundo plano, atribuyéndose las bajas tasas de fertilidad a distintos factores inherentes a las vacas y/o a una baja efectividad del plan sanitario; mientras que se prestaba escasa atención al testaje de los sementales.</w:t>
      </w:r>
    </w:p>
    <w:p w14:paraId="7096461B" w14:textId="1ACE4300" w:rsidR="001304F0" w:rsidRDefault="001304F0" w:rsidP="001304F0">
      <w:pPr>
        <w:shd w:val="clear" w:color="auto" w:fill="FFFFFF"/>
        <w:spacing w:after="100" w:afterAutospacing="1" w:line="240" w:lineRule="auto"/>
        <w:jc w:val="both"/>
        <w:rPr>
          <w:rFonts w:eastAsia="Times New Roman" w:cstheme="minorHAnsi"/>
          <w:color w:val="151515"/>
          <w:lang w:eastAsia="es-ES"/>
        </w:rPr>
      </w:pPr>
    </w:p>
    <w:p w14:paraId="07B4CDCE" w14:textId="7AFC165E" w:rsidR="001304F0" w:rsidRDefault="001304F0" w:rsidP="001304F0">
      <w:pPr>
        <w:shd w:val="clear" w:color="auto" w:fill="FFFFFF"/>
        <w:spacing w:after="100" w:afterAutospacing="1" w:line="240" w:lineRule="auto"/>
        <w:jc w:val="both"/>
        <w:rPr>
          <w:rFonts w:eastAsia="Times New Roman" w:cstheme="minorHAnsi"/>
          <w:color w:val="151515"/>
          <w:lang w:eastAsia="es-ES"/>
        </w:rPr>
      </w:pPr>
    </w:p>
    <w:p w14:paraId="6F00558C" w14:textId="514E9E84" w:rsidR="001304F0" w:rsidRDefault="001304F0" w:rsidP="001304F0">
      <w:pPr>
        <w:shd w:val="clear" w:color="auto" w:fill="FFFFFF"/>
        <w:spacing w:after="100" w:afterAutospacing="1" w:line="240" w:lineRule="auto"/>
        <w:jc w:val="both"/>
        <w:rPr>
          <w:rFonts w:eastAsia="Times New Roman" w:cstheme="minorHAnsi"/>
          <w:color w:val="151515"/>
          <w:lang w:eastAsia="es-ES"/>
        </w:rPr>
      </w:pPr>
    </w:p>
    <w:p w14:paraId="7AA275C7" w14:textId="77777777" w:rsidR="003105A7" w:rsidRDefault="003105A7" w:rsidP="001304F0">
      <w:pPr>
        <w:shd w:val="clear" w:color="auto" w:fill="FFFFFF"/>
        <w:spacing w:after="0" w:line="240" w:lineRule="auto"/>
        <w:jc w:val="both"/>
        <w:rPr>
          <w:rFonts w:eastAsia="Times New Roman" w:cstheme="minorHAnsi"/>
          <w:color w:val="141618"/>
          <w:lang w:eastAsia="es-ES"/>
        </w:rPr>
      </w:pPr>
    </w:p>
    <w:p w14:paraId="254C4287" w14:textId="0AABC49D" w:rsidR="001304F0" w:rsidRDefault="001304F0" w:rsidP="001304F0">
      <w:pPr>
        <w:shd w:val="clear" w:color="auto" w:fill="FFFFFF"/>
        <w:spacing w:after="0" w:line="240" w:lineRule="auto"/>
        <w:jc w:val="both"/>
        <w:rPr>
          <w:rFonts w:eastAsia="Times New Roman" w:cstheme="minorHAnsi"/>
          <w:color w:val="141618"/>
          <w:lang w:eastAsia="es-ES"/>
        </w:rPr>
      </w:pPr>
      <w:r w:rsidRPr="001304F0">
        <w:rPr>
          <w:rFonts w:eastAsia="Times New Roman" w:cstheme="minorHAnsi"/>
          <w:color w:val="141618"/>
          <w:lang w:eastAsia="es-ES"/>
        </w:rPr>
        <w:lastRenderedPageBreak/>
        <w:t>Entre las enfermedades que debemos tener en consideración, podemos hacer 3 grupos:</w:t>
      </w:r>
    </w:p>
    <w:p w14:paraId="055A4A16" w14:textId="77777777" w:rsidR="001304F0" w:rsidRPr="001304F0" w:rsidRDefault="001304F0" w:rsidP="001304F0">
      <w:pPr>
        <w:shd w:val="clear" w:color="auto" w:fill="FFFFFF"/>
        <w:spacing w:after="0" w:line="240" w:lineRule="auto"/>
        <w:jc w:val="both"/>
        <w:rPr>
          <w:rFonts w:eastAsia="Times New Roman" w:cstheme="minorHAnsi"/>
          <w:color w:val="141618"/>
          <w:lang w:eastAsia="es-ES"/>
        </w:rPr>
      </w:pPr>
    </w:p>
    <w:p w14:paraId="79A0FB79" w14:textId="77777777" w:rsidR="001304F0" w:rsidRPr="001304F0" w:rsidRDefault="001304F0" w:rsidP="001304F0">
      <w:pPr>
        <w:pStyle w:val="Prrafodelista"/>
        <w:numPr>
          <w:ilvl w:val="0"/>
          <w:numId w:val="3"/>
        </w:numPr>
        <w:shd w:val="clear" w:color="auto" w:fill="FFFFFF"/>
        <w:spacing w:after="0" w:line="240" w:lineRule="auto"/>
        <w:jc w:val="both"/>
        <w:rPr>
          <w:rFonts w:eastAsia="Times New Roman" w:cstheme="minorHAnsi"/>
          <w:color w:val="141618"/>
          <w:lang w:eastAsia="es-ES"/>
        </w:rPr>
      </w:pPr>
      <w:r w:rsidRPr="001304F0">
        <w:rPr>
          <w:rFonts w:eastAsia="Times New Roman" w:cstheme="minorHAnsi"/>
          <w:b/>
          <w:bCs/>
          <w:color w:val="141618"/>
          <w:u w:val="single"/>
          <w:lang w:eastAsia="es-ES"/>
        </w:rPr>
        <w:t>Enfermedades de declaración obligatoria</w:t>
      </w:r>
      <w:r w:rsidRPr="001304F0">
        <w:rPr>
          <w:rFonts w:eastAsia="Times New Roman" w:cstheme="minorHAnsi"/>
          <w:color w:val="141618"/>
          <w:lang w:eastAsia="es-ES"/>
        </w:rPr>
        <w:t>. Incluidas dentro del programa de saneamiento ganadero como son la tuberculosis, brucelosis, perineumonía y leucosis bovina enzoótica.</w:t>
      </w:r>
    </w:p>
    <w:p w14:paraId="2FDC4745" w14:textId="77777777" w:rsidR="001304F0" w:rsidRPr="001304F0" w:rsidRDefault="001304F0" w:rsidP="001304F0">
      <w:pPr>
        <w:pStyle w:val="Prrafodelista"/>
        <w:numPr>
          <w:ilvl w:val="0"/>
          <w:numId w:val="3"/>
        </w:numPr>
        <w:shd w:val="clear" w:color="auto" w:fill="FFFFFF"/>
        <w:spacing w:after="0" w:line="240" w:lineRule="auto"/>
        <w:jc w:val="both"/>
        <w:rPr>
          <w:rFonts w:eastAsia="Times New Roman" w:cstheme="minorHAnsi"/>
          <w:color w:val="141618"/>
          <w:lang w:eastAsia="es-ES"/>
        </w:rPr>
      </w:pPr>
      <w:r w:rsidRPr="001304F0">
        <w:rPr>
          <w:rFonts w:eastAsia="Times New Roman" w:cstheme="minorHAnsi"/>
          <w:b/>
          <w:bCs/>
          <w:color w:val="141618"/>
          <w:u w:val="single"/>
          <w:lang w:eastAsia="es-ES"/>
        </w:rPr>
        <w:t>Enfermedades que afectan a la capacidad de cópula</w:t>
      </w:r>
      <w:r w:rsidRPr="001304F0">
        <w:rPr>
          <w:rFonts w:eastAsia="Times New Roman" w:cstheme="minorHAnsi"/>
          <w:color w:val="141618"/>
          <w:lang w:eastAsia="es-ES"/>
        </w:rPr>
        <w:t>. La mayor parte de estas enfermedades pueden ser detectadas en la exploración de los órganos reproductores del animal. Para su confirmación es necesario la toma de muestras para su envío al laboratorio.</w:t>
      </w:r>
    </w:p>
    <w:p w14:paraId="30A6F4B7" w14:textId="77777777" w:rsidR="001304F0" w:rsidRPr="001304F0" w:rsidRDefault="001304F0" w:rsidP="001304F0">
      <w:pPr>
        <w:pStyle w:val="Prrafodelista"/>
        <w:numPr>
          <w:ilvl w:val="0"/>
          <w:numId w:val="3"/>
        </w:numPr>
        <w:shd w:val="clear" w:color="auto" w:fill="FFFFFF"/>
        <w:spacing w:after="0" w:line="240" w:lineRule="auto"/>
        <w:jc w:val="both"/>
        <w:rPr>
          <w:rFonts w:eastAsia="Times New Roman" w:cstheme="minorHAnsi"/>
          <w:color w:val="141618"/>
          <w:lang w:eastAsia="es-ES"/>
        </w:rPr>
      </w:pPr>
      <w:r w:rsidRPr="001304F0">
        <w:rPr>
          <w:rFonts w:eastAsia="Times New Roman" w:cstheme="minorHAnsi"/>
          <w:b/>
          <w:bCs/>
          <w:color w:val="141618"/>
          <w:u w:val="single"/>
          <w:lang w:eastAsia="es-ES"/>
        </w:rPr>
        <w:t>Enfermedades de transmisión sexual</w:t>
      </w:r>
      <w:r w:rsidRPr="001304F0">
        <w:rPr>
          <w:rFonts w:eastAsia="Times New Roman" w:cstheme="minorHAnsi"/>
          <w:color w:val="141618"/>
          <w:lang w:eastAsia="es-ES"/>
        </w:rPr>
        <w:t>, que podemos a su vez dividir en base a su frecuencia en:</w:t>
      </w:r>
    </w:p>
    <w:p w14:paraId="1006D15F" w14:textId="77777777" w:rsidR="001304F0" w:rsidRPr="001304F0" w:rsidRDefault="001304F0" w:rsidP="001304F0">
      <w:pPr>
        <w:numPr>
          <w:ilvl w:val="0"/>
          <w:numId w:val="2"/>
        </w:numPr>
        <w:shd w:val="clear" w:color="auto" w:fill="FFFFFF"/>
        <w:spacing w:after="0" w:line="240" w:lineRule="auto"/>
        <w:ind w:left="1466"/>
        <w:jc w:val="both"/>
        <w:rPr>
          <w:rFonts w:eastAsia="Times New Roman" w:cstheme="minorHAnsi"/>
          <w:color w:val="141618"/>
          <w:lang w:eastAsia="es-ES"/>
        </w:rPr>
      </w:pPr>
      <w:r w:rsidRPr="001304F0">
        <w:rPr>
          <w:rFonts w:eastAsia="Times New Roman" w:cstheme="minorHAnsi"/>
          <w:color w:val="141618"/>
          <w:u w:val="single"/>
          <w:lang w:eastAsia="es-ES"/>
        </w:rPr>
        <w:t>Enfermedades de alta prevalencia en nuestro país</w:t>
      </w:r>
      <w:r w:rsidRPr="001304F0">
        <w:rPr>
          <w:rFonts w:eastAsia="Times New Roman" w:cstheme="minorHAnsi"/>
          <w:color w:val="141618"/>
          <w:lang w:eastAsia="es-ES"/>
        </w:rPr>
        <w:t> (deberían ser incluidas siempre de rutina en el control sanitario del semental): </w:t>
      </w:r>
      <w:r w:rsidRPr="001304F0">
        <w:rPr>
          <w:rFonts w:eastAsia="Times New Roman" w:cstheme="minorHAnsi"/>
          <w:i/>
          <w:iCs/>
          <w:color w:val="141618"/>
          <w:lang w:eastAsia="es-ES"/>
        </w:rPr>
        <w:t>Tritrichomona foetus, Campylobacter fetus</w:t>
      </w:r>
      <w:r w:rsidRPr="001304F0">
        <w:rPr>
          <w:rFonts w:eastAsia="Times New Roman" w:cstheme="minorHAnsi"/>
          <w:color w:val="141618"/>
          <w:lang w:eastAsia="es-ES"/>
        </w:rPr>
        <w:t> subespecie veneralis, IBR (rinotraqueítis infecciosa bovina) y BVD (diarrea vírica bovina).</w:t>
      </w:r>
    </w:p>
    <w:p w14:paraId="709AE886" w14:textId="77777777" w:rsidR="001304F0" w:rsidRPr="001304F0" w:rsidRDefault="001304F0" w:rsidP="001304F0">
      <w:pPr>
        <w:numPr>
          <w:ilvl w:val="0"/>
          <w:numId w:val="2"/>
        </w:numPr>
        <w:shd w:val="clear" w:color="auto" w:fill="FFFFFF"/>
        <w:spacing w:after="0" w:line="240" w:lineRule="auto"/>
        <w:ind w:left="1466"/>
        <w:jc w:val="both"/>
        <w:rPr>
          <w:rFonts w:eastAsia="Times New Roman" w:cstheme="minorHAnsi"/>
          <w:color w:val="141618"/>
          <w:lang w:eastAsia="es-ES"/>
        </w:rPr>
      </w:pPr>
      <w:r w:rsidRPr="001304F0">
        <w:rPr>
          <w:rFonts w:eastAsia="Times New Roman" w:cstheme="minorHAnsi"/>
          <w:color w:val="141618"/>
          <w:u w:val="single"/>
          <w:lang w:eastAsia="es-ES"/>
        </w:rPr>
        <w:t>Enfermedades de baja frecuencia en nuestro país</w:t>
      </w:r>
      <w:r w:rsidRPr="001304F0">
        <w:rPr>
          <w:rFonts w:eastAsia="Times New Roman" w:cstheme="minorHAnsi"/>
          <w:color w:val="141618"/>
          <w:lang w:eastAsia="es-ES"/>
        </w:rPr>
        <w:t> (pero que pueden tener gran importancia en determinadas áreas geográficas): </w:t>
      </w:r>
      <w:r w:rsidRPr="001304F0">
        <w:rPr>
          <w:rFonts w:eastAsia="Times New Roman" w:cstheme="minorHAnsi"/>
          <w:i/>
          <w:iCs/>
          <w:color w:val="141618"/>
          <w:lang w:eastAsia="es-ES"/>
        </w:rPr>
        <w:t>Besnoitia</w:t>
      </w:r>
      <w:r w:rsidRPr="001304F0">
        <w:rPr>
          <w:rFonts w:eastAsia="Times New Roman" w:cstheme="minorHAnsi"/>
          <w:color w:val="141618"/>
          <w:lang w:eastAsia="es-ES"/>
        </w:rPr>
        <w:t>, </w:t>
      </w:r>
      <w:r w:rsidRPr="001304F0">
        <w:rPr>
          <w:rFonts w:eastAsia="Times New Roman" w:cstheme="minorHAnsi"/>
          <w:i/>
          <w:iCs/>
          <w:color w:val="141618"/>
          <w:lang w:eastAsia="es-ES"/>
        </w:rPr>
        <w:t>Leptospira</w:t>
      </w:r>
      <w:r w:rsidRPr="001304F0">
        <w:rPr>
          <w:rFonts w:eastAsia="Times New Roman" w:cstheme="minorHAnsi"/>
          <w:color w:val="141618"/>
          <w:lang w:eastAsia="es-ES"/>
        </w:rPr>
        <w:t>, Schmallenberg o hemoparásitos (Babesia, Anaplasma o Theileria).</w:t>
      </w:r>
    </w:p>
    <w:p w14:paraId="01D753AC" w14:textId="1DAB1758" w:rsidR="001304F0" w:rsidRPr="001304F0" w:rsidRDefault="001304F0" w:rsidP="001304F0">
      <w:pPr>
        <w:shd w:val="clear" w:color="auto" w:fill="FFFFFF"/>
        <w:spacing w:before="270" w:after="0" w:line="240" w:lineRule="auto"/>
        <w:jc w:val="both"/>
        <w:rPr>
          <w:rFonts w:eastAsia="Times New Roman" w:cstheme="minorHAnsi"/>
          <w:color w:val="141618"/>
          <w:lang w:eastAsia="es-ES"/>
        </w:rPr>
      </w:pPr>
      <w:r w:rsidRPr="001304F0">
        <w:rPr>
          <w:rFonts w:eastAsia="Times New Roman" w:cstheme="minorHAnsi"/>
          <w:noProof/>
          <w:color w:val="141618"/>
          <w:lang w:val="es-ES_tradnl" w:eastAsia="es-ES_tradnl"/>
        </w:rPr>
        <w:drawing>
          <wp:inline distT="0" distB="0" distL="0" distR="0" wp14:anchorId="042BF46A" wp14:editId="4015C172">
            <wp:extent cx="5400040" cy="3493770"/>
            <wp:effectExtent l="0" t="0" r="0" b="0"/>
            <wp:docPr id="3" name="Imagen 3" descr="Valoración aptitud reproductiva sem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oración aptitud reproductiva seme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493770"/>
                    </a:xfrm>
                    <a:prstGeom prst="rect">
                      <a:avLst/>
                    </a:prstGeom>
                    <a:noFill/>
                    <a:ln>
                      <a:noFill/>
                    </a:ln>
                  </pic:spPr>
                </pic:pic>
              </a:graphicData>
            </a:graphic>
          </wp:inline>
        </w:drawing>
      </w:r>
    </w:p>
    <w:p w14:paraId="3CB18BAE" w14:textId="77777777" w:rsidR="001304F0" w:rsidRPr="001304F0" w:rsidRDefault="001304F0" w:rsidP="001304F0">
      <w:pPr>
        <w:shd w:val="clear" w:color="auto" w:fill="FFFFFF"/>
        <w:spacing w:before="270" w:after="0" w:line="240" w:lineRule="auto"/>
        <w:jc w:val="both"/>
        <w:rPr>
          <w:rFonts w:eastAsia="Times New Roman" w:cstheme="minorHAnsi"/>
          <w:color w:val="141618"/>
          <w:lang w:eastAsia="es-ES"/>
        </w:rPr>
      </w:pPr>
      <w:r w:rsidRPr="001304F0">
        <w:rPr>
          <w:rFonts w:eastAsia="Times New Roman" w:cstheme="minorHAnsi"/>
          <w:color w:val="141618"/>
          <w:lang w:eastAsia="es-ES"/>
        </w:rPr>
        <w:t>Desde 2009, </w:t>
      </w:r>
      <w:r w:rsidRPr="001304F0">
        <w:rPr>
          <w:rFonts w:eastAsia="Times New Roman" w:cstheme="minorHAnsi"/>
          <w:b/>
          <w:bCs/>
          <w:color w:val="000000"/>
          <w:lang w:eastAsia="es-ES"/>
        </w:rPr>
        <w:t>el equipo técnico de MSD Animal Health ha dado soporte al testaje de sementales</w:t>
      </w:r>
      <w:r w:rsidRPr="001304F0">
        <w:rPr>
          <w:rFonts w:eastAsia="Times New Roman" w:cstheme="minorHAnsi"/>
          <w:color w:val="141618"/>
          <w:lang w:eastAsia="es-ES"/>
        </w:rPr>
        <w:t> realizado por los equipos veterinarios de distintas explotaciones a nivel nacional. Los resultados han permitido identificar entre un </w:t>
      </w:r>
      <w:r w:rsidRPr="001304F0">
        <w:rPr>
          <w:rFonts w:eastAsia="Times New Roman" w:cstheme="minorHAnsi"/>
          <w:b/>
          <w:bCs/>
          <w:color w:val="000000"/>
          <w:lang w:eastAsia="es-ES"/>
        </w:rPr>
        <w:t>20-30% de toros que no se encontraban en condiciones óptimas</w:t>
      </w:r>
      <w:r w:rsidRPr="001304F0">
        <w:rPr>
          <w:rFonts w:eastAsia="Times New Roman" w:cstheme="minorHAnsi"/>
          <w:color w:val="141618"/>
          <w:lang w:eastAsia="es-ES"/>
        </w:rPr>
        <w:t> para ser utilizados como sementales. Lo que pone una vez más de manifiesto la importancia de realizar estos testajes tanto de forma periódica en la explotación, como previo a la compra o al préstamo de sementales entre explotaciones (siempre tomando en consideración que esta última práctica es considerada de altísimo riesgo por lo que debiera evitarse siempre que sea posible).</w:t>
      </w:r>
    </w:p>
    <w:p w14:paraId="024873C6" w14:textId="77777777" w:rsidR="001304F0" w:rsidRPr="001304F0" w:rsidRDefault="001304F0" w:rsidP="001304F0">
      <w:pPr>
        <w:shd w:val="clear" w:color="auto" w:fill="FFFFFF"/>
        <w:spacing w:before="270" w:after="0" w:line="240" w:lineRule="auto"/>
        <w:jc w:val="both"/>
        <w:rPr>
          <w:rFonts w:eastAsia="Times New Roman" w:cstheme="minorHAnsi"/>
          <w:color w:val="141618"/>
          <w:lang w:eastAsia="es-ES"/>
        </w:rPr>
      </w:pPr>
      <w:r w:rsidRPr="001304F0">
        <w:rPr>
          <w:rFonts w:eastAsia="Times New Roman" w:cstheme="minorHAnsi"/>
          <w:color w:val="141618"/>
          <w:lang w:eastAsia="es-ES"/>
        </w:rPr>
        <w:lastRenderedPageBreak/>
        <w:t>Además, cabe recordar que cuando falla una vaca tenemos uno o dos terneros menos, sin embargo, cuando falla un semental perderemos entre 25 a 40 terneros. Por lo que no debemos olvidar que en monta natural el toro es el componente más importante del rebaño.</w:t>
      </w:r>
    </w:p>
    <w:p w14:paraId="308E2A14" w14:textId="77777777" w:rsidR="001304F0" w:rsidRPr="001304F0" w:rsidRDefault="001304F0" w:rsidP="00BA43F8">
      <w:pPr>
        <w:shd w:val="clear" w:color="auto" w:fill="FFFFFF"/>
        <w:spacing w:before="270" w:after="0" w:line="240" w:lineRule="auto"/>
        <w:jc w:val="both"/>
        <w:outlineLvl w:val="0"/>
        <w:rPr>
          <w:rFonts w:eastAsia="Times New Roman" w:cstheme="minorHAnsi"/>
          <w:color w:val="141618"/>
          <w:lang w:eastAsia="es-ES"/>
        </w:rPr>
      </w:pPr>
      <w:r w:rsidRPr="001304F0">
        <w:rPr>
          <w:rFonts w:eastAsia="Times New Roman" w:cstheme="minorHAnsi"/>
          <w:color w:val="141618"/>
          <w:u w:val="single"/>
          <w:lang w:eastAsia="es-ES"/>
        </w:rPr>
        <w:t>BIBLIOGRAFÍA:</w:t>
      </w:r>
    </w:p>
    <w:p w14:paraId="58F10F1E" w14:textId="6F24E410" w:rsidR="001304F0" w:rsidRPr="001304F0" w:rsidRDefault="00C24EDA" w:rsidP="001304F0">
      <w:pPr>
        <w:shd w:val="clear" w:color="auto" w:fill="FFFFFF"/>
        <w:spacing w:before="270" w:after="0" w:line="240" w:lineRule="auto"/>
        <w:jc w:val="both"/>
        <w:rPr>
          <w:rFonts w:eastAsia="Times New Roman" w:cstheme="minorHAnsi"/>
          <w:color w:val="141618"/>
          <w:sz w:val="18"/>
          <w:szCs w:val="18"/>
          <w:lang w:eastAsia="es-ES"/>
        </w:rPr>
      </w:pPr>
      <w:r>
        <w:rPr>
          <w:rFonts w:eastAsia="Times New Roman" w:cstheme="minorHAnsi"/>
          <w:color w:val="141618"/>
          <w:sz w:val="18"/>
          <w:szCs w:val="18"/>
          <w:lang w:eastAsia="es-ES"/>
        </w:rPr>
        <w:t>MAPA</w:t>
      </w:r>
      <w:r w:rsidR="001304F0" w:rsidRPr="001304F0">
        <w:rPr>
          <w:rFonts w:eastAsia="Times New Roman" w:cstheme="minorHAnsi"/>
          <w:color w:val="141618"/>
          <w:sz w:val="18"/>
          <w:szCs w:val="18"/>
          <w:lang w:eastAsia="es-ES"/>
        </w:rPr>
        <w:t>. (20</w:t>
      </w:r>
      <w:r w:rsidR="002B2FA9">
        <w:rPr>
          <w:rFonts w:eastAsia="Times New Roman" w:cstheme="minorHAnsi"/>
          <w:color w:val="141618"/>
          <w:sz w:val="18"/>
          <w:szCs w:val="18"/>
          <w:lang w:eastAsia="es-ES"/>
        </w:rPr>
        <w:t>21</w:t>
      </w:r>
      <w:r w:rsidR="001304F0" w:rsidRPr="001304F0">
        <w:rPr>
          <w:rFonts w:eastAsia="Times New Roman" w:cstheme="minorHAnsi"/>
          <w:color w:val="141618"/>
          <w:sz w:val="18"/>
          <w:szCs w:val="18"/>
          <w:lang w:eastAsia="es-ES"/>
        </w:rPr>
        <w:t>). Estudio del sector español de vacas nodrizas. Subdirección General de Productos Ganaderos.</w:t>
      </w:r>
    </w:p>
    <w:p w14:paraId="32DDD82D" w14:textId="77777777" w:rsidR="001304F0" w:rsidRPr="001304F0" w:rsidRDefault="001304F0" w:rsidP="00BA43F8">
      <w:pPr>
        <w:shd w:val="clear" w:color="auto" w:fill="FFFFFF"/>
        <w:spacing w:before="270" w:after="0" w:line="240" w:lineRule="auto"/>
        <w:jc w:val="both"/>
        <w:outlineLvl w:val="0"/>
        <w:rPr>
          <w:rFonts w:eastAsia="Times New Roman" w:cstheme="minorHAnsi"/>
          <w:color w:val="141618"/>
          <w:sz w:val="18"/>
          <w:szCs w:val="18"/>
          <w:lang w:eastAsia="es-ES"/>
        </w:rPr>
      </w:pPr>
      <w:r w:rsidRPr="001304F0">
        <w:rPr>
          <w:rFonts w:eastAsia="Times New Roman" w:cstheme="minorHAnsi"/>
          <w:color w:val="141618"/>
          <w:sz w:val="18"/>
          <w:szCs w:val="18"/>
          <w:lang w:eastAsia="es-ES"/>
        </w:rPr>
        <w:t>EUROSTAT (2011): </w:t>
      </w:r>
      <w:hyperlink r:id="rId9" w:history="1">
        <w:r w:rsidRPr="001304F0">
          <w:rPr>
            <w:rFonts w:eastAsia="Times New Roman" w:cstheme="minorHAnsi"/>
            <w:color w:val="000000"/>
            <w:sz w:val="18"/>
            <w:szCs w:val="18"/>
            <w:u w:val="single"/>
            <w:bdr w:val="none" w:sz="0" w:space="0" w:color="auto" w:frame="1"/>
            <w:lang w:eastAsia="es-ES"/>
          </w:rPr>
          <w:t>https://ec.europa.eu/eurostat/data/database</w:t>
        </w:r>
      </w:hyperlink>
    </w:p>
    <w:p w14:paraId="03BB0DDE" w14:textId="77777777" w:rsidR="001304F0" w:rsidRPr="001304F0" w:rsidRDefault="001304F0" w:rsidP="001304F0">
      <w:pPr>
        <w:shd w:val="clear" w:color="auto" w:fill="FFFFFF"/>
        <w:spacing w:before="270" w:after="0" w:line="240" w:lineRule="auto"/>
        <w:jc w:val="both"/>
        <w:rPr>
          <w:rFonts w:eastAsia="Times New Roman" w:cstheme="minorHAnsi"/>
          <w:color w:val="141618"/>
          <w:sz w:val="18"/>
          <w:szCs w:val="18"/>
          <w:lang w:eastAsia="es-ES"/>
        </w:rPr>
      </w:pPr>
      <w:r w:rsidRPr="001304F0">
        <w:rPr>
          <w:rFonts w:eastAsia="Times New Roman" w:cstheme="minorHAnsi"/>
          <w:color w:val="141618"/>
          <w:sz w:val="18"/>
          <w:szCs w:val="18"/>
          <w:lang w:eastAsia="es-ES"/>
        </w:rPr>
        <w:t>Jimeno Vinatea V, Castro Madrigal T (2014) Gestión técnico-económica en explotaciones de vacas nodrizas. Mundo ganadero 259: 18-22</w:t>
      </w:r>
    </w:p>
    <w:p w14:paraId="759CA044" w14:textId="54F864C6" w:rsidR="001304F0" w:rsidRPr="001304F0" w:rsidRDefault="001304F0" w:rsidP="001304F0">
      <w:pPr>
        <w:shd w:val="clear" w:color="auto" w:fill="FFFFFF"/>
        <w:spacing w:after="100" w:afterAutospacing="1" w:line="240" w:lineRule="auto"/>
        <w:jc w:val="both"/>
        <w:rPr>
          <w:rFonts w:eastAsia="Times New Roman" w:cstheme="minorHAnsi"/>
          <w:color w:val="151515"/>
          <w:sz w:val="18"/>
          <w:szCs w:val="18"/>
          <w:lang w:eastAsia="es-ES"/>
        </w:rPr>
      </w:pPr>
    </w:p>
    <w:sectPr w:rsidR="001304F0" w:rsidRPr="001304F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5CEF2" w14:textId="77777777" w:rsidR="00D776D6" w:rsidRDefault="00D776D6" w:rsidP="006456CC">
      <w:pPr>
        <w:spacing w:after="0" w:line="240" w:lineRule="auto"/>
      </w:pPr>
      <w:r>
        <w:separator/>
      </w:r>
    </w:p>
  </w:endnote>
  <w:endnote w:type="continuationSeparator" w:id="0">
    <w:p w14:paraId="43167702" w14:textId="77777777" w:rsidR="00D776D6" w:rsidRDefault="00D776D6" w:rsidP="00645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9145C" w14:textId="77777777" w:rsidR="00D776D6" w:rsidRDefault="00D776D6" w:rsidP="006456CC">
      <w:pPr>
        <w:spacing w:after="0" w:line="240" w:lineRule="auto"/>
      </w:pPr>
      <w:r>
        <w:separator/>
      </w:r>
    </w:p>
  </w:footnote>
  <w:footnote w:type="continuationSeparator" w:id="0">
    <w:p w14:paraId="34C62123" w14:textId="77777777" w:rsidR="00D776D6" w:rsidRDefault="00D776D6" w:rsidP="006456C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F16B4D"/>
    <w:multiLevelType w:val="hybridMultilevel"/>
    <w:tmpl w:val="4C1C5D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93501A7"/>
    <w:multiLevelType w:val="multilevel"/>
    <w:tmpl w:val="32C6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DBA7A41"/>
    <w:multiLevelType w:val="multilevel"/>
    <w:tmpl w:val="9F02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4F0"/>
    <w:rsid w:val="001304F0"/>
    <w:rsid w:val="002B2FA9"/>
    <w:rsid w:val="002C5756"/>
    <w:rsid w:val="002E48C4"/>
    <w:rsid w:val="003105A7"/>
    <w:rsid w:val="006456CC"/>
    <w:rsid w:val="00A27754"/>
    <w:rsid w:val="00BA43F8"/>
    <w:rsid w:val="00C24EDA"/>
    <w:rsid w:val="00D32CD1"/>
    <w:rsid w:val="00D776D6"/>
  </w:rsids>
  <m:mathPr>
    <m:mathFont m:val="Cambria Math"/>
    <m:brkBin m:val="before"/>
    <m:brkBinSub m:val="--"/>
    <m:smallFrac m:val="0"/>
    <m:dispDef/>
    <m:lMargin m:val="0"/>
    <m:rMargin m:val="0"/>
    <m:defJc m:val="centerGroup"/>
    <m:wrapIndent m:val="1440"/>
    <m:intLim m:val="subSup"/>
    <m:naryLim m:val="undOvr"/>
  </m:mathPr>
  <w:themeFontLang w:val="es-E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403A3"/>
  <w15:chartTrackingRefBased/>
  <w15:docId w15:val="{11C11EE0-001E-47FE-8945-2DDAB3E6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link w:val="Ttulo2Car"/>
    <w:uiPriority w:val="9"/>
    <w:qFormat/>
    <w:rsid w:val="001304F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304F0"/>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1304F0"/>
    <w:rPr>
      <w:b/>
      <w:bCs/>
    </w:rPr>
  </w:style>
  <w:style w:type="paragraph" w:customStyle="1" w:styleId="has-extra-color-1633671586398-color">
    <w:name w:val="has-extra-color-1633671586398-color"/>
    <w:basedOn w:val="Normal"/>
    <w:rsid w:val="001304F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1304F0"/>
    <w:rPr>
      <w:color w:val="0000FF"/>
      <w:u w:val="single"/>
    </w:rPr>
  </w:style>
  <w:style w:type="character" w:customStyle="1" w:styleId="has-inline-color">
    <w:name w:val="has-inline-color"/>
    <w:basedOn w:val="Fuentedeprrafopredeter"/>
    <w:rsid w:val="001304F0"/>
  </w:style>
  <w:style w:type="paragraph" w:customStyle="1" w:styleId="has-text-align-justify">
    <w:name w:val="has-text-align-justify"/>
    <w:basedOn w:val="Normal"/>
    <w:rsid w:val="001304F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has-text-align-center">
    <w:name w:val="has-text-align-center"/>
    <w:basedOn w:val="Normal"/>
    <w:rsid w:val="001304F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has-xl-font-size">
    <w:name w:val="has-xl-font-size"/>
    <w:basedOn w:val="Normal"/>
    <w:rsid w:val="001304F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1304F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304F0"/>
    <w:rPr>
      <w:i/>
      <w:iCs/>
    </w:rPr>
  </w:style>
  <w:style w:type="paragraph" w:styleId="Prrafodelista">
    <w:name w:val="List Paragraph"/>
    <w:basedOn w:val="Normal"/>
    <w:uiPriority w:val="34"/>
    <w:qFormat/>
    <w:rsid w:val="00130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55450">
      <w:bodyDiv w:val="1"/>
      <w:marLeft w:val="0"/>
      <w:marRight w:val="0"/>
      <w:marTop w:val="0"/>
      <w:marBottom w:val="0"/>
      <w:divBdr>
        <w:top w:val="none" w:sz="0" w:space="0" w:color="auto"/>
        <w:left w:val="none" w:sz="0" w:space="0" w:color="auto"/>
        <w:bottom w:val="none" w:sz="0" w:space="0" w:color="auto"/>
        <w:right w:val="none" w:sz="0" w:space="0" w:color="auto"/>
      </w:divBdr>
      <w:divsChild>
        <w:div w:id="1438675099">
          <w:marLeft w:val="0"/>
          <w:marRight w:val="0"/>
          <w:marTop w:val="0"/>
          <w:marBottom w:val="0"/>
          <w:divBdr>
            <w:top w:val="none" w:sz="0" w:space="0" w:color="auto"/>
            <w:left w:val="none" w:sz="0" w:space="0" w:color="auto"/>
            <w:bottom w:val="none" w:sz="0" w:space="0" w:color="auto"/>
            <w:right w:val="none" w:sz="0" w:space="0" w:color="auto"/>
          </w:divBdr>
          <w:divsChild>
            <w:div w:id="10391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73491">
      <w:bodyDiv w:val="1"/>
      <w:marLeft w:val="0"/>
      <w:marRight w:val="0"/>
      <w:marTop w:val="0"/>
      <w:marBottom w:val="0"/>
      <w:divBdr>
        <w:top w:val="none" w:sz="0" w:space="0" w:color="auto"/>
        <w:left w:val="none" w:sz="0" w:space="0" w:color="auto"/>
        <w:bottom w:val="none" w:sz="0" w:space="0" w:color="auto"/>
        <w:right w:val="none" w:sz="0" w:space="0" w:color="auto"/>
      </w:divBdr>
      <w:divsChild>
        <w:div w:id="301498362">
          <w:marLeft w:val="6450"/>
          <w:marRight w:val="0"/>
          <w:marTop w:val="0"/>
          <w:marBottom w:val="0"/>
          <w:divBdr>
            <w:top w:val="none" w:sz="0" w:space="0" w:color="auto"/>
            <w:left w:val="none" w:sz="0" w:space="0" w:color="auto"/>
            <w:bottom w:val="none" w:sz="0" w:space="0" w:color="auto"/>
            <w:right w:val="none" w:sz="0" w:space="0" w:color="auto"/>
          </w:divBdr>
          <w:divsChild>
            <w:div w:id="1132600843">
              <w:marLeft w:val="0"/>
              <w:marRight w:val="0"/>
              <w:marTop w:val="0"/>
              <w:marBottom w:val="0"/>
              <w:divBdr>
                <w:top w:val="none" w:sz="0" w:space="0" w:color="auto"/>
                <w:left w:val="none" w:sz="0" w:space="0" w:color="auto"/>
                <w:bottom w:val="none" w:sz="0" w:space="0" w:color="auto"/>
                <w:right w:val="none" w:sz="0" w:space="0" w:color="auto"/>
              </w:divBdr>
              <w:divsChild>
                <w:div w:id="1190341246">
                  <w:marLeft w:val="0"/>
                  <w:marRight w:val="0"/>
                  <w:marTop w:val="0"/>
                  <w:marBottom w:val="0"/>
                  <w:divBdr>
                    <w:top w:val="none" w:sz="0" w:space="0" w:color="auto"/>
                    <w:left w:val="none" w:sz="0" w:space="0" w:color="auto"/>
                    <w:bottom w:val="none" w:sz="0" w:space="0" w:color="auto"/>
                    <w:right w:val="none" w:sz="0" w:space="0" w:color="auto"/>
                  </w:divBdr>
                  <w:divsChild>
                    <w:div w:id="1118990902">
                      <w:marLeft w:val="0"/>
                      <w:marRight w:val="0"/>
                      <w:marTop w:val="0"/>
                      <w:marBottom w:val="0"/>
                      <w:divBdr>
                        <w:top w:val="none" w:sz="0" w:space="0" w:color="auto"/>
                        <w:left w:val="none" w:sz="0" w:space="0" w:color="auto"/>
                        <w:bottom w:val="none" w:sz="0" w:space="0" w:color="auto"/>
                        <w:right w:val="none" w:sz="0" w:space="0" w:color="auto"/>
                      </w:divBdr>
                      <w:divsChild>
                        <w:div w:id="538863018">
                          <w:marLeft w:val="0"/>
                          <w:marRight w:val="0"/>
                          <w:marTop w:val="0"/>
                          <w:marBottom w:val="0"/>
                          <w:divBdr>
                            <w:top w:val="none" w:sz="0" w:space="0" w:color="auto"/>
                            <w:left w:val="none" w:sz="0" w:space="0" w:color="auto"/>
                            <w:bottom w:val="none" w:sz="0" w:space="0" w:color="auto"/>
                            <w:right w:val="none" w:sz="0" w:space="0" w:color="auto"/>
                          </w:divBdr>
                          <w:divsChild>
                            <w:div w:id="1780954493">
                              <w:marLeft w:val="0"/>
                              <w:marRight w:val="0"/>
                              <w:marTop w:val="0"/>
                              <w:marBottom w:val="0"/>
                              <w:divBdr>
                                <w:top w:val="none" w:sz="0" w:space="0" w:color="auto"/>
                                <w:left w:val="none" w:sz="0" w:space="0" w:color="auto"/>
                                <w:bottom w:val="none" w:sz="0" w:space="0" w:color="auto"/>
                                <w:right w:val="none" w:sz="0" w:space="0" w:color="auto"/>
                              </w:divBdr>
                            </w:div>
                            <w:div w:id="5653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78551">
                      <w:marLeft w:val="0"/>
                      <w:marRight w:val="0"/>
                      <w:marTop w:val="0"/>
                      <w:marBottom w:val="0"/>
                      <w:divBdr>
                        <w:top w:val="none" w:sz="0" w:space="0" w:color="auto"/>
                        <w:left w:val="none" w:sz="0" w:space="0" w:color="auto"/>
                        <w:bottom w:val="none" w:sz="0" w:space="0" w:color="auto"/>
                        <w:right w:val="none" w:sz="0" w:space="0" w:color="auto"/>
                      </w:divBdr>
                      <w:divsChild>
                        <w:div w:id="673532637">
                          <w:marLeft w:val="0"/>
                          <w:marRight w:val="0"/>
                          <w:marTop w:val="0"/>
                          <w:marBottom w:val="0"/>
                          <w:divBdr>
                            <w:top w:val="none" w:sz="0" w:space="0" w:color="auto"/>
                            <w:left w:val="none" w:sz="0" w:space="0" w:color="auto"/>
                            <w:bottom w:val="none" w:sz="0" w:space="0" w:color="auto"/>
                            <w:right w:val="none" w:sz="0" w:space="0" w:color="auto"/>
                          </w:divBdr>
                        </w:div>
                      </w:divsChild>
                    </w:div>
                    <w:div w:id="1762067775">
                      <w:marLeft w:val="0"/>
                      <w:marRight w:val="0"/>
                      <w:marTop w:val="0"/>
                      <w:marBottom w:val="0"/>
                      <w:divBdr>
                        <w:top w:val="none" w:sz="0" w:space="0" w:color="auto"/>
                        <w:left w:val="none" w:sz="0" w:space="0" w:color="auto"/>
                        <w:bottom w:val="none" w:sz="0" w:space="0" w:color="auto"/>
                        <w:right w:val="none" w:sz="0" w:space="0" w:color="auto"/>
                      </w:divBdr>
                      <w:divsChild>
                        <w:div w:id="1251500639">
                          <w:marLeft w:val="0"/>
                          <w:marRight w:val="0"/>
                          <w:marTop w:val="0"/>
                          <w:marBottom w:val="0"/>
                          <w:divBdr>
                            <w:top w:val="none" w:sz="0" w:space="0" w:color="auto"/>
                            <w:left w:val="none" w:sz="0" w:space="0" w:color="auto"/>
                            <w:bottom w:val="none" w:sz="0" w:space="0" w:color="auto"/>
                            <w:right w:val="none" w:sz="0" w:space="0" w:color="auto"/>
                          </w:divBdr>
                        </w:div>
                      </w:divsChild>
                    </w:div>
                    <w:div w:id="1912888305">
                      <w:marLeft w:val="0"/>
                      <w:marRight w:val="0"/>
                      <w:marTop w:val="0"/>
                      <w:marBottom w:val="0"/>
                      <w:divBdr>
                        <w:top w:val="none" w:sz="0" w:space="0" w:color="auto"/>
                        <w:left w:val="none" w:sz="0" w:space="0" w:color="auto"/>
                        <w:bottom w:val="none" w:sz="0" w:space="0" w:color="auto"/>
                        <w:right w:val="none" w:sz="0" w:space="0" w:color="auto"/>
                      </w:divBdr>
                      <w:divsChild>
                        <w:div w:id="15519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32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https://ec.europa.eu/eurostat/data/databas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722</Words>
  <Characters>3971</Characters>
  <Application>Microsoft Macintosh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Rumarketing</dc:creator>
  <cp:keywords/>
  <dc:description/>
  <cp:lastModifiedBy>Usuario de Microsoft Office</cp:lastModifiedBy>
  <cp:revision>3</cp:revision>
  <dcterms:created xsi:type="dcterms:W3CDTF">2022-05-18T11:49:00Z</dcterms:created>
  <dcterms:modified xsi:type="dcterms:W3CDTF">2022-05-18T11:52:00Z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2022-04-26T22:37:21Z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e35d77f2-4838-4d1f-8afa-fb4f4c0390ad</vt:lpwstr>
  </property>
  <property fmtid="{D5CDD505-2E9C-101B-9397-08002B2CF9AE}" pid="8" name="MSIP_Label_e81acc0d-dcc4-4dc9-a2c5-be70b05a2fe6_ContentBits">
    <vt:lpwstr>0</vt:lpwstr>
  </property>
  <property fmtid="{D5CDD505-2E9C-101B-9397-08002B2CF9AE}" pid="9" name="MerckAIPLabel">
    <vt:lpwstr>NotClassified</vt:lpwstr>
  </property>
  <property fmtid="{D5CDD505-2E9C-101B-9397-08002B2CF9AE}" pid="10" name="MerckAIPDataExchange">
    <vt:lpwstr>!MRKMIP@NotClassified</vt:lpwstr>
  </property>
</Properties>
</file>