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B601F" w14:textId="77777777" w:rsidR="00451ABB" w:rsidRDefault="00451ABB" w:rsidP="003B60AE">
      <w:r>
        <w:rPr>
          <w:rFonts w:ascii="Arial" w:hAnsi="Arial" w:cs="Arial"/>
          <w:noProof/>
          <w:sz w:val="27"/>
          <w:szCs w:val="27"/>
        </w:rPr>
        <w:drawing>
          <wp:inline distT="0" distB="0" distL="0" distR="0" wp14:anchorId="1495DEFE" wp14:editId="7DA6AE20">
            <wp:extent cx="1630680" cy="12344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30680" cy="1234440"/>
                    </a:xfrm>
                    <a:prstGeom prst="rect">
                      <a:avLst/>
                    </a:prstGeom>
                    <a:noFill/>
                    <a:ln>
                      <a:noFill/>
                    </a:ln>
                  </pic:spPr>
                </pic:pic>
              </a:graphicData>
            </a:graphic>
          </wp:inline>
        </w:drawing>
      </w:r>
      <w:r>
        <w:t xml:space="preserve"> </w:t>
      </w:r>
    </w:p>
    <w:p w14:paraId="3B3E491E" w14:textId="297D3307" w:rsidR="003B60AE" w:rsidRDefault="00451ABB" w:rsidP="003B60AE">
      <w:bookmarkStart w:id="0" w:name="_GoBack"/>
      <w:bookmarkEnd w:id="0"/>
      <w:r>
        <w:t>Autora: Laura Elvira Partida. Directora Técnica de Rumiantes de MSD Animal Health</w:t>
      </w:r>
    </w:p>
    <w:p w14:paraId="4BFF1D84" w14:textId="784D049C" w:rsidR="00611F7E" w:rsidRPr="003B60AE" w:rsidRDefault="003B60AE" w:rsidP="003B60AE">
      <w:pPr>
        <w:rPr>
          <w:b/>
          <w:bCs/>
          <w:sz w:val="32"/>
          <w:szCs w:val="32"/>
          <w:u w:val="single"/>
        </w:rPr>
      </w:pPr>
      <w:r w:rsidRPr="003B60AE">
        <w:rPr>
          <w:b/>
          <w:bCs/>
          <w:sz w:val="32"/>
          <w:szCs w:val="32"/>
          <w:u w:val="single"/>
        </w:rPr>
        <w:t>LA IMPORTANCIA ECONÓMICA DE LA RINOTRAQUEÍTIS INFECCIOSA BOVINA (IBR) EN LAS EXPLOTACIONES DE VACUNO</w:t>
      </w:r>
    </w:p>
    <w:p w14:paraId="7C34ED1D" w14:textId="77777777" w:rsidR="003B60AE" w:rsidRPr="003B60AE" w:rsidRDefault="003B60AE" w:rsidP="003B60AE">
      <w:pPr>
        <w:pStyle w:val="NormalWeb"/>
        <w:shd w:val="clear" w:color="auto" w:fill="FFFFFF"/>
        <w:spacing w:after="0" w:afterAutospacing="0"/>
        <w:jc w:val="both"/>
        <w:rPr>
          <w:rFonts w:ascii="Lato" w:hAnsi="Lato"/>
          <w:color w:val="141618"/>
          <w:sz w:val="22"/>
          <w:szCs w:val="22"/>
        </w:rPr>
      </w:pPr>
      <w:r w:rsidRPr="003B60AE">
        <w:rPr>
          <w:rStyle w:val="Strong"/>
          <w:rFonts w:ascii="Lato" w:hAnsi="Lato"/>
          <w:color w:val="000000"/>
          <w:sz w:val="22"/>
          <w:szCs w:val="22"/>
        </w:rPr>
        <w:t>El IBR es una enfermedad causada por un herpesvirus, el BoHV-1,</w:t>
      </w:r>
      <w:r w:rsidRPr="003B60AE">
        <w:rPr>
          <w:rFonts w:ascii="Lato" w:hAnsi="Lato"/>
          <w:color w:val="141618"/>
          <w:sz w:val="22"/>
          <w:szCs w:val="22"/>
        </w:rPr>
        <w:t> que, al igual que el herpes labial humano, tiene una particularidad, la latencia. Como consecuencia, los animales infectados, quedarán infectados de por vida manteniéndose el </w:t>
      </w:r>
      <w:r w:rsidRPr="003B60AE">
        <w:rPr>
          <w:rStyle w:val="Strong"/>
          <w:rFonts w:ascii="Lato" w:hAnsi="Lato"/>
          <w:color w:val="000000"/>
          <w:sz w:val="22"/>
          <w:szCs w:val="22"/>
        </w:rPr>
        <w:t>virus en latencia</w:t>
      </w:r>
      <w:r w:rsidRPr="003B60AE">
        <w:rPr>
          <w:rFonts w:ascii="Lato" w:hAnsi="Lato"/>
          <w:color w:val="141618"/>
          <w:sz w:val="22"/>
          <w:szCs w:val="22"/>
        </w:rPr>
        <w:t>. Posteriormente, podrá reactivarse ante distintas causas de estrés (parto, cambio de lote, transporte…), eliminándose de nuevo virus, lo que podrá dar lugar a la infección de nuevos animales y a un nuevo brote. Por este motivo, los animales con infección latente son la principal forma de mantenimiento de la infección dentro del rebaño.</w:t>
      </w:r>
    </w:p>
    <w:p w14:paraId="157970EB" w14:textId="77777777" w:rsidR="003B60AE" w:rsidRPr="003B60AE" w:rsidRDefault="003B60AE" w:rsidP="003B60AE">
      <w:pPr>
        <w:pStyle w:val="NormalWeb"/>
        <w:shd w:val="clear" w:color="auto" w:fill="FFFFFF"/>
        <w:spacing w:before="270" w:beforeAutospacing="0" w:after="0" w:afterAutospacing="0"/>
        <w:jc w:val="both"/>
        <w:rPr>
          <w:rFonts w:ascii="Lato" w:hAnsi="Lato"/>
          <w:color w:val="141618"/>
          <w:sz w:val="22"/>
          <w:szCs w:val="22"/>
        </w:rPr>
      </w:pPr>
      <w:r w:rsidRPr="003B60AE">
        <w:rPr>
          <w:rFonts w:ascii="Lato" w:hAnsi="Lato"/>
          <w:color w:val="141618"/>
          <w:sz w:val="22"/>
          <w:szCs w:val="22"/>
        </w:rPr>
        <w:t>En este post analizaremos los principales cuadros clínicos del IBR, sus consecuencias económicas, su impacto en los distintos tipos de producción bovina y la importancia de incluir las vacunas marcadas de IBR en el plan vacunal.</w:t>
      </w:r>
    </w:p>
    <w:p w14:paraId="6EED9E4A" w14:textId="77777777" w:rsidR="003B60AE" w:rsidRPr="003B60AE" w:rsidRDefault="003B60AE" w:rsidP="003B60AE">
      <w:pPr>
        <w:pStyle w:val="NormalWeb"/>
        <w:shd w:val="clear" w:color="auto" w:fill="FFFFFF"/>
        <w:spacing w:before="270" w:beforeAutospacing="0" w:after="0" w:afterAutospacing="0"/>
        <w:jc w:val="both"/>
        <w:rPr>
          <w:rFonts w:ascii="Lato" w:hAnsi="Lato"/>
          <w:color w:val="141618"/>
          <w:sz w:val="22"/>
          <w:szCs w:val="22"/>
        </w:rPr>
      </w:pPr>
      <w:r w:rsidRPr="003B60AE">
        <w:rPr>
          <w:rFonts w:ascii="Lato" w:hAnsi="Lato"/>
          <w:color w:val="141618"/>
          <w:sz w:val="22"/>
          <w:szCs w:val="22"/>
        </w:rPr>
        <w:t>El virus se disemina principalmente por</w:t>
      </w:r>
      <w:r w:rsidRPr="003B60AE">
        <w:rPr>
          <w:rStyle w:val="Strong"/>
          <w:rFonts w:ascii="Lato" w:hAnsi="Lato"/>
          <w:color w:val="000000"/>
          <w:sz w:val="22"/>
          <w:szCs w:val="22"/>
        </w:rPr>
        <w:t> contacto directo nariz-nariz</w:t>
      </w:r>
      <w:r w:rsidRPr="003B60AE">
        <w:rPr>
          <w:rFonts w:ascii="Lato" w:hAnsi="Lato"/>
          <w:color w:val="141618"/>
          <w:sz w:val="22"/>
          <w:szCs w:val="22"/>
        </w:rPr>
        <w:t>, a través del aire </w:t>
      </w:r>
      <w:r w:rsidRPr="003B60AE">
        <w:rPr>
          <w:rStyle w:val="Strong"/>
          <w:rFonts w:ascii="Lato" w:hAnsi="Lato"/>
          <w:color w:val="000000"/>
          <w:sz w:val="22"/>
          <w:szCs w:val="22"/>
        </w:rPr>
        <w:t>por aerosoles en suspensión</w:t>
      </w:r>
      <w:r w:rsidRPr="003B60AE">
        <w:rPr>
          <w:rFonts w:ascii="Lato" w:hAnsi="Lato"/>
          <w:color w:val="141618"/>
          <w:sz w:val="22"/>
          <w:szCs w:val="22"/>
        </w:rPr>
        <w:t> o incluso por </w:t>
      </w:r>
      <w:r w:rsidRPr="003B60AE">
        <w:rPr>
          <w:rStyle w:val="Strong"/>
          <w:rFonts w:ascii="Lato" w:hAnsi="Lato"/>
          <w:color w:val="000000"/>
          <w:sz w:val="22"/>
          <w:szCs w:val="22"/>
        </w:rPr>
        <w:t>equipos o personal contaminados</w:t>
      </w:r>
      <w:r w:rsidRPr="003B60AE">
        <w:rPr>
          <w:rFonts w:ascii="Lato" w:hAnsi="Lato"/>
          <w:color w:val="141618"/>
          <w:sz w:val="22"/>
          <w:szCs w:val="22"/>
        </w:rPr>
        <w:t>. Además, puede transmitirse de forma venérea, </w:t>
      </w:r>
      <w:r w:rsidRPr="003B60AE">
        <w:rPr>
          <w:rStyle w:val="Strong"/>
          <w:rFonts w:ascii="Lato" w:hAnsi="Lato"/>
          <w:color w:val="000000"/>
          <w:sz w:val="22"/>
          <w:szCs w:val="22"/>
        </w:rPr>
        <w:t>a través de semen</w:t>
      </w:r>
      <w:r w:rsidRPr="003B60AE">
        <w:rPr>
          <w:rFonts w:ascii="Lato" w:hAnsi="Lato"/>
          <w:color w:val="141618"/>
          <w:sz w:val="22"/>
          <w:szCs w:val="22"/>
        </w:rPr>
        <w:t>, por lo que es recomendable chequear a los sementales. Las principales causas de introducción de la enfermedad en un rebaño serán la</w:t>
      </w:r>
      <w:r w:rsidRPr="003B60AE">
        <w:rPr>
          <w:rStyle w:val="Strong"/>
          <w:rFonts w:ascii="Lato" w:hAnsi="Lato"/>
          <w:color w:val="000000"/>
          <w:sz w:val="22"/>
          <w:szCs w:val="22"/>
        </w:rPr>
        <w:t> incorporación de animales seropositivos</w:t>
      </w:r>
      <w:r w:rsidRPr="003B60AE">
        <w:rPr>
          <w:rFonts w:ascii="Lato" w:hAnsi="Lato"/>
          <w:color w:val="141618"/>
          <w:sz w:val="22"/>
          <w:szCs w:val="22"/>
        </w:rPr>
        <w:t>, el retorno de animales que asisten a </w:t>
      </w:r>
      <w:r w:rsidRPr="003B60AE">
        <w:rPr>
          <w:rStyle w:val="Strong"/>
          <w:rFonts w:ascii="Lato" w:hAnsi="Lato"/>
          <w:color w:val="000000"/>
          <w:sz w:val="22"/>
          <w:szCs w:val="22"/>
        </w:rPr>
        <w:t>certámenes ganaderos</w:t>
      </w:r>
      <w:r w:rsidRPr="003B60AE">
        <w:rPr>
          <w:rFonts w:ascii="Lato" w:hAnsi="Lato"/>
          <w:color w:val="141618"/>
          <w:sz w:val="22"/>
          <w:szCs w:val="22"/>
        </w:rPr>
        <w:t> sin ser sometidos a cuarentena y chequeo, o los </w:t>
      </w:r>
      <w:r w:rsidRPr="003B60AE">
        <w:rPr>
          <w:rStyle w:val="Strong"/>
          <w:rFonts w:ascii="Lato" w:hAnsi="Lato"/>
          <w:color w:val="000000"/>
          <w:sz w:val="22"/>
          <w:szCs w:val="22"/>
        </w:rPr>
        <w:t>pastos comunales</w:t>
      </w:r>
      <w:r w:rsidRPr="003B60AE">
        <w:rPr>
          <w:rFonts w:ascii="Lato" w:hAnsi="Lato"/>
          <w:color w:val="141618"/>
          <w:sz w:val="22"/>
          <w:szCs w:val="22"/>
        </w:rPr>
        <w:t>.</w:t>
      </w:r>
    </w:p>
    <w:p w14:paraId="2CDE828E" w14:textId="77777777" w:rsidR="003B60AE" w:rsidRPr="003B60AE" w:rsidRDefault="003B60AE" w:rsidP="003B60AE">
      <w:pPr>
        <w:pStyle w:val="NormalWeb"/>
        <w:shd w:val="clear" w:color="auto" w:fill="FFFFFF"/>
        <w:spacing w:before="270" w:beforeAutospacing="0" w:after="0" w:afterAutospacing="0"/>
        <w:jc w:val="both"/>
        <w:rPr>
          <w:rFonts w:ascii="Lato" w:hAnsi="Lato"/>
          <w:color w:val="141618"/>
          <w:sz w:val="22"/>
          <w:szCs w:val="22"/>
        </w:rPr>
      </w:pPr>
      <w:r w:rsidRPr="003B60AE">
        <w:rPr>
          <w:rFonts w:ascii="Lato" w:hAnsi="Lato"/>
          <w:color w:val="141618"/>
          <w:sz w:val="22"/>
          <w:szCs w:val="22"/>
        </w:rPr>
        <w:t>El cuadro clínico del IBR puede dar lugar principalmente a un </w:t>
      </w:r>
      <w:r w:rsidRPr="003B60AE">
        <w:rPr>
          <w:rStyle w:val="Strong"/>
          <w:rFonts w:ascii="Lato" w:hAnsi="Lato"/>
          <w:color w:val="000000"/>
          <w:sz w:val="22"/>
          <w:szCs w:val="22"/>
        </w:rPr>
        <w:t>cuadro reproductivo</w:t>
      </w:r>
      <w:r w:rsidRPr="003B60AE">
        <w:rPr>
          <w:rFonts w:ascii="Lato" w:hAnsi="Lato"/>
          <w:color w:val="141618"/>
          <w:sz w:val="22"/>
          <w:szCs w:val="22"/>
        </w:rPr>
        <w:t> (adultos) </w:t>
      </w:r>
      <w:r w:rsidRPr="003B60AE">
        <w:rPr>
          <w:rStyle w:val="Strong"/>
          <w:rFonts w:ascii="Lato" w:hAnsi="Lato"/>
          <w:color w:val="000000"/>
          <w:sz w:val="22"/>
          <w:szCs w:val="22"/>
        </w:rPr>
        <w:t>o respiratorio</w:t>
      </w:r>
      <w:r w:rsidRPr="003B60AE">
        <w:rPr>
          <w:rFonts w:ascii="Lato" w:hAnsi="Lato"/>
          <w:color w:val="141618"/>
          <w:sz w:val="22"/>
          <w:szCs w:val="22"/>
        </w:rPr>
        <w:t> (recría y cebo), tal y como podemos ver en la Tabla 1.</w:t>
      </w:r>
    </w:p>
    <w:p w14:paraId="6F435D38" w14:textId="77777777" w:rsidR="003B60AE" w:rsidRPr="003B60AE" w:rsidRDefault="003B60AE" w:rsidP="003B60AE">
      <w:pPr>
        <w:pStyle w:val="NormalWeb"/>
        <w:shd w:val="clear" w:color="auto" w:fill="FFFFFF"/>
        <w:spacing w:before="270" w:beforeAutospacing="0" w:after="0" w:afterAutospacing="0"/>
        <w:rPr>
          <w:rFonts w:ascii="Lato" w:hAnsi="Lato"/>
          <w:color w:val="141618"/>
          <w:sz w:val="22"/>
          <w:szCs w:val="22"/>
        </w:rPr>
      </w:pPr>
      <w:r w:rsidRPr="003B60AE">
        <w:rPr>
          <w:rFonts w:ascii="Lato" w:hAnsi="Lato"/>
          <w:color w:val="141618"/>
          <w:sz w:val="22"/>
          <w:szCs w:val="22"/>
        </w:rPr>
        <w:t>Tabla 1. Principales cuadros clínicos del IBR</w:t>
      </w:r>
    </w:p>
    <w:p w14:paraId="3DB6BAF3" w14:textId="065C332B" w:rsidR="003B60AE" w:rsidRPr="003B60AE" w:rsidRDefault="003B60AE" w:rsidP="003B60AE"/>
    <w:p w14:paraId="1A23BBFC" w14:textId="4335120A" w:rsidR="003B60AE" w:rsidRPr="003B60AE" w:rsidRDefault="003B60AE" w:rsidP="003B60AE">
      <w:r w:rsidRPr="003B60AE">
        <w:rPr>
          <w:noProof/>
        </w:rPr>
        <w:lastRenderedPageBreak/>
        <w:drawing>
          <wp:inline distT="0" distB="0" distL="0" distR="0" wp14:anchorId="25BAA00C" wp14:editId="3DC82B62">
            <wp:extent cx="5400040" cy="271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710815"/>
                    </a:xfrm>
                    <a:prstGeom prst="rect">
                      <a:avLst/>
                    </a:prstGeom>
                    <a:noFill/>
                    <a:ln>
                      <a:noFill/>
                    </a:ln>
                  </pic:spPr>
                </pic:pic>
              </a:graphicData>
            </a:graphic>
          </wp:inline>
        </w:drawing>
      </w:r>
    </w:p>
    <w:p w14:paraId="3C72F841" w14:textId="77777777" w:rsidR="003B60AE" w:rsidRPr="003B60AE" w:rsidRDefault="003B60AE" w:rsidP="003B60AE">
      <w:pPr>
        <w:shd w:val="clear" w:color="auto" w:fill="FFFFFF"/>
        <w:spacing w:after="0" w:line="240" w:lineRule="auto"/>
        <w:outlineLvl w:val="1"/>
        <w:rPr>
          <w:rFonts w:ascii="Times New Roman" w:eastAsia="Times New Roman" w:hAnsi="Times New Roman" w:cs="Times New Roman"/>
          <w:b/>
          <w:bCs/>
          <w:caps/>
          <w:color w:val="000000"/>
          <w:lang w:eastAsia="es-ES"/>
        </w:rPr>
      </w:pPr>
      <w:r w:rsidRPr="003B60AE">
        <w:rPr>
          <w:rFonts w:ascii="Times New Roman" w:eastAsia="Times New Roman" w:hAnsi="Times New Roman" w:cs="Times New Roman"/>
          <w:b/>
          <w:bCs/>
          <w:caps/>
          <w:color w:val="000000"/>
          <w:u w:val="single"/>
          <w:lang w:eastAsia="es-ES"/>
        </w:rPr>
        <w:t>CONSECUENCIAS ECONÓMICAS</w:t>
      </w:r>
    </w:p>
    <w:p w14:paraId="6601CF64" w14:textId="21AAACAF" w:rsidR="003B60AE" w:rsidRPr="003B60AE" w:rsidRDefault="003B60AE" w:rsidP="003B60AE"/>
    <w:p w14:paraId="2BAF6B99" w14:textId="0909C01A" w:rsidR="003B60AE" w:rsidRPr="003B60AE" w:rsidRDefault="003B60AE" w:rsidP="003B60AE">
      <w:r w:rsidRPr="003B60AE">
        <w:rPr>
          <w:noProof/>
        </w:rPr>
        <w:drawing>
          <wp:inline distT="0" distB="0" distL="0" distR="0" wp14:anchorId="2453C5EF" wp14:editId="24952719">
            <wp:extent cx="5400040" cy="5400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p>
    <w:p w14:paraId="64CE4018" w14:textId="5568BF72" w:rsidR="003B60AE" w:rsidRPr="003B60AE" w:rsidRDefault="003B60AE" w:rsidP="003B60AE">
      <w:pPr>
        <w:pStyle w:val="NormalWeb"/>
        <w:shd w:val="clear" w:color="auto" w:fill="FFFFFF"/>
        <w:spacing w:before="0" w:beforeAutospacing="0" w:after="0" w:afterAutospacing="0"/>
        <w:jc w:val="both"/>
        <w:rPr>
          <w:rFonts w:ascii="Lato" w:hAnsi="Lato"/>
          <w:color w:val="141618"/>
          <w:sz w:val="22"/>
          <w:szCs w:val="22"/>
        </w:rPr>
      </w:pPr>
      <w:r w:rsidRPr="003B60AE">
        <w:rPr>
          <w:rFonts w:ascii="Lato" w:hAnsi="Lato"/>
          <w:color w:val="141618"/>
          <w:sz w:val="22"/>
          <w:szCs w:val="22"/>
        </w:rPr>
        <w:lastRenderedPageBreak/>
        <w:t>E</w:t>
      </w:r>
      <w:r w:rsidRPr="003B60AE">
        <w:rPr>
          <w:rFonts w:ascii="Lato" w:hAnsi="Lato"/>
          <w:color w:val="141618"/>
          <w:sz w:val="22"/>
          <w:szCs w:val="22"/>
        </w:rPr>
        <w:t>n los últimos años, distintos estudios han puesto de manifiesto la repercusión económica del IBR. Además del coste asociado a los brotes clínicos de la enfermedad, la infección subclínica tiene un efecto negativo a largo plazo en las explotaciones afectadas. Así, se ha visto que las </w:t>
      </w:r>
      <w:r w:rsidRPr="003B60AE">
        <w:rPr>
          <w:rStyle w:val="Strong"/>
          <w:rFonts w:ascii="Lato" w:hAnsi="Lato"/>
          <w:color w:val="000000"/>
          <w:sz w:val="22"/>
          <w:szCs w:val="22"/>
        </w:rPr>
        <w:t>vacas multíparas de los rebaños positivos producían de media 250 litros menos de leche</w:t>
      </w:r>
      <w:r w:rsidRPr="003B60AE">
        <w:rPr>
          <w:rFonts w:ascii="Lato" w:hAnsi="Lato"/>
          <w:color w:val="141618"/>
          <w:sz w:val="22"/>
          <w:szCs w:val="22"/>
        </w:rPr>
        <w:t> </w:t>
      </w:r>
      <w:r w:rsidRPr="003B60AE">
        <w:rPr>
          <w:rStyle w:val="Strong"/>
          <w:rFonts w:ascii="Lato" w:hAnsi="Lato"/>
          <w:color w:val="000000"/>
          <w:sz w:val="22"/>
          <w:szCs w:val="22"/>
        </w:rPr>
        <w:t>por lactación</w:t>
      </w:r>
      <w:r w:rsidRPr="003B60AE">
        <w:rPr>
          <w:rFonts w:ascii="Lato" w:hAnsi="Lato"/>
          <w:color w:val="141618"/>
          <w:sz w:val="22"/>
          <w:szCs w:val="22"/>
        </w:rPr>
        <w:t> que las de los rebaños seronegativos, con un menor contenido en grasa (11 kg/año) y proteína (8 kg/año) (Sayers y col., 2016). Igualmente, al comparar las vacas de un mismo rebaño en función del estatus frente a IBR, </w:t>
      </w:r>
      <w:r w:rsidRPr="003B60AE">
        <w:rPr>
          <w:rStyle w:val="Strong"/>
          <w:rFonts w:ascii="Lato" w:hAnsi="Lato"/>
          <w:color w:val="000000"/>
          <w:sz w:val="22"/>
          <w:szCs w:val="22"/>
        </w:rPr>
        <w:t>las seropositivas producían 2,6 kg menos de leche/día que las seronegativas</w:t>
      </w:r>
      <w:r w:rsidRPr="003B60AE">
        <w:rPr>
          <w:rFonts w:ascii="Lato" w:hAnsi="Lato"/>
          <w:color w:val="141618"/>
          <w:sz w:val="22"/>
          <w:szCs w:val="22"/>
        </w:rPr>
        <w:t> (Statham y col., 2015). Esta disminución en las granjas de leche tendrá un impacto directo en el tanque, mientras que en las explotaciones de nodrizas puede afectar negativamente a la ganancia de peso de los terneros.</w:t>
      </w:r>
    </w:p>
    <w:p w14:paraId="577DCD15" w14:textId="77777777" w:rsidR="003B60AE" w:rsidRPr="003B60AE" w:rsidRDefault="003B60AE" w:rsidP="003B60AE">
      <w:pPr>
        <w:pStyle w:val="NormalWeb"/>
        <w:shd w:val="clear" w:color="auto" w:fill="FFFFFF"/>
        <w:spacing w:before="270" w:beforeAutospacing="0" w:after="0" w:afterAutospacing="0"/>
        <w:jc w:val="both"/>
        <w:rPr>
          <w:rFonts w:ascii="Lato" w:hAnsi="Lato"/>
          <w:color w:val="141618"/>
          <w:sz w:val="22"/>
          <w:szCs w:val="22"/>
        </w:rPr>
      </w:pPr>
      <w:r w:rsidRPr="003B60AE">
        <w:rPr>
          <w:rFonts w:ascii="Lato" w:hAnsi="Lato"/>
          <w:color w:val="141618"/>
          <w:sz w:val="22"/>
          <w:szCs w:val="22"/>
        </w:rPr>
        <w:t>Además, la presencia de seropositivos tiene </w:t>
      </w:r>
      <w:r w:rsidRPr="003B60AE">
        <w:rPr>
          <w:rStyle w:val="Strong"/>
          <w:rFonts w:ascii="Lato" w:hAnsi="Lato"/>
          <w:color w:val="000000"/>
          <w:sz w:val="22"/>
          <w:szCs w:val="22"/>
        </w:rPr>
        <w:t>también un efecto negativo en los terneros</w:t>
      </w:r>
      <w:r w:rsidRPr="003B60AE">
        <w:rPr>
          <w:rFonts w:ascii="Lato" w:hAnsi="Lato"/>
          <w:color w:val="141618"/>
          <w:sz w:val="22"/>
          <w:szCs w:val="22"/>
        </w:rPr>
        <w:t>, incrementando entre 15-19 veces el riesgo de que estos enfermen de neumonía con respecto a los de granjas libres de IBR (Raaperi y col., 2012).</w:t>
      </w:r>
    </w:p>
    <w:p w14:paraId="10317BD8" w14:textId="2E85582C" w:rsidR="003B60AE" w:rsidRPr="003B60AE" w:rsidRDefault="003B60AE" w:rsidP="003B60AE">
      <w:pPr>
        <w:pStyle w:val="NormalWeb"/>
        <w:shd w:val="clear" w:color="auto" w:fill="FFFFFF"/>
        <w:spacing w:before="270" w:beforeAutospacing="0" w:after="0" w:afterAutospacing="0"/>
        <w:rPr>
          <w:rFonts w:ascii="Lato" w:hAnsi="Lato"/>
          <w:b/>
          <w:bCs/>
          <w:color w:val="141618"/>
          <w:sz w:val="22"/>
          <w:szCs w:val="22"/>
        </w:rPr>
      </w:pPr>
      <w:r w:rsidRPr="003B60AE">
        <w:rPr>
          <w:rFonts w:ascii="Lato" w:hAnsi="Lato"/>
          <w:b/>
          <w:bCs/>
          <w:color w:val="141618"/>
          <w:sz w:val="22"/>
          <w:szCs w:val="22"/>
        </w:rPr>
        <w:t>Tabla 2. Impacto del IBR en los distintos tipos de producción bovina</w:t>
      </w:r>
    </w:p>
    <w:p w14:paraId="4C946F11" w14:textId="53BA3E2E" w:rsidR="003B60AE" w:rsidRPr="003B60AE" w:rsidRDefault="003B60AE" w:rsidP="003B60AE">
      <w:pPr>
        <w:pStyle w:val="NormalWeb"/>
        <w:shd w:val="clear" w:color="auto" w:fill="FFFFFF"/>
        <w:spacing w:before="270" w:beforeAutospacing="0" w:after="0" w:afterAutospacing="0"/>
        <w:rPr>
          <w:rFonts w:ascii="Lato" w:hAnsi="Lato"/>
          <w:color w:val="141618"/>
          <w:sz w:val="22"/>
          <w:szCs w:val="22"/>
        </w:rPr>
      </w:pPr>
      <w:r w:rsidRPr="003B60AE">
        <w:rPr>
          <w:noProof/>
          <w:sz w:val="22"/>
          <w:szCs w:val="22"/>
        </w:rPr>
        <w:drawing>
          <wp:inline distT="0" distB="0" distL="0" distR="0" wp14:anchorId="302F18B4" wp14:editId="3D016A88">
            <wp:extent cx="5400040" cy="3330575"/>
            <wp:effectExtent l="0" t="0" r="0" b="3175"/>
            <wp:docPr id="3" name="Picture 3" descr="IBR rinotrauqeitis infecci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BR rinotrauqeitis infeccio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330575"/>
                    </a:xfrm>
                    <a:prstGeom prst="rect">
                      <a:avLst/>
                    </a:prstGeom>
                    <a:noFill/>
                    <a:ln>
                      <a:noFill/>
                    </a:ln>
                  </pic:spPr>
                </pic:pic>
              </a:graphicData>
            </a:graphic>
          </wp:inline>
        </w:drawing>
      </w:r>
    </w:p>
    <w:p w14:paraId="561B6D00" w14:textId="7A60C0EA" w:rsidR="003B60AE" w:rsidRPr="003B60AE" w:rsidRDefault="003B60AE" w:rsidP="003B60AE"/>
    <w:p w14:paraId="17AF661C" w14:textId="3E4FA824" w:rsidR="003B60AE" w:rsidRPr="003B60AE" w:rsidRDefault="003B60AE" w:rsidP="003B60AE">
      <w:pPr>
        <w:shd w:val="clear" w:color="auto" w:fill="FFFFFF"/>
        <w:spacing w:after="0" w:line="0" w:lineRule="atLeast"/>
        <w:jc w:val="center"/>
        <w:rPr>
          <w:rFonts w:ascii="Lato" w:eastAsia="Times New Roman" w:hAnsi="Lato" w:cs="Times New Roman"/>
          <w:color w:val="141618"/>
          <w:lang w:eastAsia="es-ES"/>
        </w:rPr>
      </w:pPr>
    </w:p>
    <w:p w14:paraId="3EED0A80" w14:textId="77777777" w:rsidR="003B60AE" w:rsidRPr="003B60AE" w:rsidRDefault="003B60AE" w:rsidP="003B60AE">
      <w:pPr>
        <w:shd w:val="clear" w:color="auto" w:fill="FFFFFF"/>
        <w:spacing w:after="0" w:line="240" w:lineRule="auto"/>
        <w:outlineLvl w:val="1"/>
        <w:rPr>
          <w:rFonts w:ascii="Lato" w:eastAsia="Times New Roman" w:hAnsi="Lato" w:cs="Times New Roman"/>
          <w:b/>
          <w:bCs/>
          <w:caps/>
          <w:color w:val="000000"/>
          <w:lang w:eastAsia="es-ES"/>
        </w:rPr>
      </w:pPr>
      <w:r w:rsidRPr="003B60AE">
        <w:rPr>
          <w:rFonts w:ascii="Lato" w:eastAsia="Times New Roman" w:hAnsi="Lato" w:cs="Times New Roman"/>
          <w:b/>
          <w:bCs/>
          <w:caps/>
          <w:color w:val="000000"/>
          <w:u w:val="single"/>
          <w:lang w:eastAsia="es-ES"/>
        </w:rPr>
        <w:t>LA IMPORTANCIA DE INCLUIR LAS VACUNAS MARCADAS DE IBR EN EL PLAN VACUNAL</w:t>
      </w:r>
    </w:p>
    <w:p w14:paraId="26B8B189" w14:textId="77777777" w:rsidR="003B60AE" w:rsidRPr="003B60AE" w:rsidRDefault="003B60AE" w:rsidP="003B60AE">
      <w:pPr>
        <w:shd w:val="clear" w:color="auto" w:fill="FFFFFF"/>
        <w:spacing w:before="270" w:after="0" w:line="240" w:lineRule="auto"/>
        <w:jc w:val="both"/>
        <w:rPr>
          <w:rFonts w:ascii="Lato" w:eastAsia="Times New Roman" w:hAnsi="Lato" w:cs="Times New Roman"/>
          <w:color w:val="141618"/>
          <w:lang w:eastAsia="es-ES"/>
        </w:rPr>
      </w:pPr>
      <w:r w:rsidRPr="003B60AE">
        <w:rPr>
          <w:rFonts w:ascii="Lato" w:eastAsia="Times New Roman" w:hAnsi="Lato" w:cs="Times New Roman"/>
          <w:color w:val="141618"/>
          <w:lang w:eastAsia="es-ES"/>
        </w:rPr>
        <w:t>El veterinario es quien mejor puede recomendar vacunar frente al IBR en una explotación. Sin embargo, por las condiciones actuales de nuestro país, es recomendable </w:t>
      </w:r>
      <w:r w:rsidRPr="003B60AE">
        <w:rPr>
          <w:rFonts w:ascii="Lato" w:eastAsia="Times New Roman" w:hAnsi="Lato" w:cs="Times New Roman"/>
          <w:b/>
          <w:bCs/>
          <w:color w:val="000000"/>
          <w:lang w:eastAsia="es-ES"/>
        </w:rPr>
        <w:t>incluir el IBR junto a una vacuna con protección fetal frente al virus de la Diarrea Vírica Bovina (BVD)</w:t>
      </w:r>
      <w:r w:rsidRPr="003B60AE">
        <w:rPr>
          <w:rFonts w:ascii="Lato" w:eastAsia="Times New Roman" w:hAnsi="Lato" w:cs="Times New Roman"/>
          <w:color w:val="141618"/>
          <w:lang w:eastAsia="es-ES"/>
        </w:rPr>
        <w:t> en el plan vacunal de las granjas de vacuno reproductor (tanto de leche como nodrizas). El objetivo de la vacunación frente al IBR será doble: prevenir los casos de neumonía y los problemas reproductivos.</w:t>
      </w:r>
    </w:p>
    <w:p w14:paraId="167F90DD" w14:textId="77777777" w:rsidR="003B60AE" w:rsidRPr="003B60AE" w:rsidRDefault="003B60AE" w:rsidP="003B60AE">
      <w:pPr>
        <w:shd w:val="clear" w:color="auto" w:fill="FFFFFF"/>
        <w:spacing w:before="270" w:after="0" w:line="240" w:lineRule="auto"/>
        <w:jc w:val="both"/>
        <w:rPr>
          <w:rFonts w:ascii="Lato" w:eastAsia="Times New Roman" w:hAnsi="Lato" w:cs="Times New Roman"/>
          <w:color w:val="141618"/>
          <w:lang w:eastAsia="es-ES"/>
        </w:rPr>
      </w:pPr>
      <w:r w:rsidRPr="003B60AE">
        <w:rPr>
          <w:rFonts w:ascii="Lato" w:eastAsia="Times New Roman" w:hAnsi="Lato" w:cs="Times New Roman"/>
          <w:color w:val="141618"/>
          <w:lang w:eastAsia="es-ES"/>
        </w:rPr>
        <w:lastRenderedPageBreak/>
        <w:t>En el </w:t>
      </w:r>
      <w:r w:rsidRPr="003B60AE">
        <w:rPr>
          <w:rFonts w:ascii="Lato" w:eastAsia="Times New Roman" w:hAnsi="Lato" w:cs="Times New Roman"/>
          <w:b/>
          <w:bCs/>
          <w:color w:val="000000"/>
          <w:lang w:eastAsia="es-ES"/>
        </w:rPr>
        <w:t>caso del cebo</w:t>
      </w:r>
      <w:r w:rsidRPr="003B60AE">
        <w:rPr>
          <w:rFonts w:ascii="Lato" w:eastAsia="Times New Roman" w:hAnsi="Lato" w:cs="Times New Roman"/>
          <w:color w:val="141618"/>
          <w:lang w:eastAsia="es-ES"/>
        </w:rPr>
        <w:t>, debemos continuar protegiendo a los terneros frente al IBR, ya que es uno de los virus causantes del </w:t>
      </w:r>
      <w:r w:rsidRPr="003B60AE">
        <w:rPr>
          <w:rFonts w:ascii="Lato" w:eastAsia="Times New Roman" w:hAnsi="Lato" w:cs="Times New Roman"/>
          <w:b/>
          <w:bCs/>
          <w:color w:val="000000"/>
          <w:lang w:eastAsia="es-ES"/>
        </w:rPr>
        <w:t>Síndrome Respiratorio Bovino (SRB)</w:t>
      </w:r>
      <w:r w:rsidRPr="003B60AE">
        <w:rPr>
          <w:rFonts w:ascii="Lato" w:eastAsia="Times New Roman" w:hAnsi="Lato" w:cs="Times New Roman"/>
          <w:color w:val="141618"/>
          <w:lang w:eastAsia="es-ES"/>
        </w:rPr>
        <w:t>. Tras la llegada al cebadero es muy probable que el virus se reactive en los animales portadores, por lo que se pueden infectar nuevos animales. Como consecuencia, puede agravarse la morbilidad/mortalidad del SRB en el lote. Además, este brote dará lugar a un gran número de animales seropositivos, lo que puede suponer un problema en un futuro si queremos destinar los animales para </w:t>
      </w:r>
      <w:r w:rsidRPr="003B60AE">
        <w:rPr>
          <w:rFonts w:ascii="Lato" w:eastAsia="Times New Roman" w:hAnsi="Lato" w:cs="Times New Roman"/>
          <w:b/>
          <w:bCs/>
          <w:color w:val="000000"/>
          <w:lang w:eastAsia="es-ES"/>
        </w:rPr>
        <w:t>exportación a algún país con restricciones</w:t>
      </w:r>
      <w:r w:rsidRPr="003B60AE">
        <w:rPr>
          <w:rFonts w:ascii="Lato" w:eastAsia="Times New Roman" w:hAnsi="Lato" w:cs="Times New Roman"/>
          <w:color w:val="141618"/>
          <w:lang w:eastAsia="es-ES"/>
        </w:rPr>
        <w:t> a este nivel.</w:t>
      </w:r>
    </w:p>
    <w:p w14:paraId="36E53BB0" w14:textId="77777777" w:rsidR="003B60AE" w:rsidRPr="003B60AE" w:rsidRDefault="003B60AE" w:rsidP="003B60AE">
      <w:pPr>
        <w:shd w:val="clear" w:color="auto" w:fill="FFFFFF"/>
        <w:spacing w:before="270" w:after="0" w:line="240" w:lineRule="auto"/>
        <w:jc w:val="both"/>
        <w:rPr>
          <w:rFonts w:ascii="Lato" w:eastAsia="Times New Roman" w:hAnsi="Lato" w:cs="Times New Roman"/>
          <w:color w:val="141618"/>
          <w:sz w:val="24"/>
          <w:szCs w:val="24"/>
          <w:lang w:eastAsia="es-ES"/>
        </w:rPr>
      </w:pPr>
      <w:r w:rsidRPr="003B60AE">
        <w:rPr>
          <w:rFonts w:ascii="Lato" w:eastAsia="Times New Roman" w:hAnsi="Lato" w:cs="Times New Roman"/>
          <w:color w:val="141618"/>
          <w:lang w:eastAsia="es-ES"/>
        </w:rPr>
        <w:t>En este caso, el objetivo de la vacunación frente al IBR será también doble: minimizar la circulación del IBR en el lote (y el impacto negativo del SRB) y minimizar la seroconversión de terneros al virus campo previo a la vacunación, importante en los casos en los que se quiera exportar terneros</w:t>
      </w:r>
      <w:r w:rsidRPr="003B60AE">
        <w:rPr>
          <w:rFonts w:ascii="Lato" w:eastAsia="Times New Roman" w:hAnsi="Lato" w:cs="Times New Roman"/>
          <w:color w:val="141618"/>
          <w:sz w:val="24"/>
          <w:szCs w:val="24"/>
          <w:lang w:eastAsia="es-ES"/>
        </w:rPr>
        <w:t>.</w:t>
      </w:r>
    </w:p>
    <w:p w14:paraId="6CD5C538" w14:textId="77777777" w:rsidR="003B60AE" w:rsidRDefault="003B60AE" w:rsidP="003B60AE"/>
    <w:sectPr w:rsidR="003B60AE">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A9032" w14:textId="77777777" w:rsidR="003B60AE" w:rsidRDefault="003B60AE" w:rsidP="003B60AE">
      <w:pPr>
        <w:spacing w:after="0" w:line="240" w:lineRule="auto"/>
      </w:pPr>
      <w:r>
        <w:separator/>
      </w:r>
    </w:p>
  </w:endnote>
  <w:endnote w:type="continuationSeparator" w:id="0">
    <w:p w14:paraId="2F2989BE" w14:textId="77777777" w:rsidR="003B60AE" w:rsidRDefault="003B60AE" w:rsidP="003B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2327C" w14:textId="77777777" w:rsidR="003B60AE" w:rsidRDefault="003B60AE" w:rsidP="003B60AE">
      <w:pPr>
        <w:spacing w:after="0" w:line="240" w:lineRule="auto"/>
      </w:pPr>
      <w:r>
        <w:separator/>
      </w:r>
    </w:p>
  </w:footnote>
  <w:footnote w:type="continuationSeparator" w:id="0">
    <w:p w14:paraId="7833DC29" w14:textId="77777777" w:rsidR="003B60AE" w:rsidRDefault="003B60AE" w:rsidP="003B6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762FF" w14:textId="454197E4" w:rsidR="003B60AE" w:rsidRDefault="003B60AE">
    <w:pPr>
      <w:pStyle w:val="Header"/>
    </w:pPr>
    <w:r>
      <w:rPr>
        <w:noProof/>
      </w:rPr>
      <mc:AlternateContent>
        <mc:Choice Requires="wps">
          <w:drawing>
            <wp:anchor distT="0" distB="0" distL="114300" distR="114300" simplePos="0" relativeHeight="251659264" behindDoc="0" locked="0" layoutInCell="0" allowOverlap="1" wp14:anchorId="006CCCDD" wp14:editId="66E66545">
              <wp:simplePos x="0" y="0"/>
              <wp:positionH relativeFrom="page">
                <wp:posOffset>0</wp:posOffset>
              </wp:positionH>
              <wp:positionV relativeFrom="page">
                <wp:posOffset>190500</wp:posOffset>
              </wp:positionV>
              <wp:extent cx="7560310" cy="273050"/>
              <wp:effectExtent l="0" t="0" r="0" b="12700"/>
              <wp:wrapNone/>
              <wp:docPr id="7" name="MSIPCMec3f47b48f5a9e346b78fda3" descr="{&quot;HashCode&quot;:-130536796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1958E7" w14:textId="059CA4E9" w:rsidR="003B60AE" w:rsidRPr="003B60AE" w:rsidRDefault="003B60AE" w:rsidP="003B60AE">
                          <w:pPr>
                            <w:spacing w:after="0"/>
                            <w:rPr>
                              <w:rFonts w:ascii="Calibri" w:hAnsi="Calibri" w:cs="Calibri"/>
                              <w:color w:val="03C03C"/>
                              <w:sz w:val="24"/>
                            </w:rPr>
                          </w:pPr>
                          <w:r w:rsidRPr="003B60AE">
                            <w:rPr>
                              <w:rFonts w:ascii="Calibri" w:hAnsi="Calibri" w:cs="Calibri"/>
                              <w:color w:val="03C03C"/>
                              <w:sz w:val="24"/>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06CCCDD" id="_x0000_t202" coordsize="21600,21600" o:spt="202" path="m,l,21600r21600,l21600,xe">
              <v:stroke joinstyle="miter"/>
              <v:path gradientshapeok="t" o:connecttype="rect"/>
            </v:shapetype>
            <v:shape id="MSIPCMec3f47b48f5a9e346b78fda3" o:spid="_x0000_s1026" type="#_x0000_t202" alt="{&quot;HashCode&quot;:-130536796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CLT1GOsQIAAEgFAAAOAAAA&#10;AAAAAAAAAAAAAC4CAABkcnMvZTJvRG9jLnhtbFBLAQItABQABgAIAAAAIQBpAd4j3AAAAAcBAAAP&#10;AAAAAAAAAAAAAAAAAAsFAABkcnMvZG93bnJldi54bWxQSwUGAAAAAAQABADzAAAAFAYAAAAA&#10;" o:allowincell="f" filled="f" stroked="f" strokeweight=".5pt">
              <v:fill o:detectmouseclick="t"/>
              <v:textbox inset="20pt,0,,0">
                <w:txbxContent>
                  <w:p w14:paraId="1C1958E7" w14:textId="059CA4E9" w:rsidR="003B60AE" w:rsidRPr="003B60AE" w:rsidRDefault="003B60AE" w:rsidP="003B60AE">
                    <w:pPr>
                      <w:spacing w:after="0"/>
                      <w:rPr>
                        <w:rFonts w:ascii="Calibri" w:hAnsi="Calibri" w:cs="Calibri"/>
                        <w:color w:val="03C03C"/>
                        <w:sz w:val="24"/>
                      </w:rPr>
                    </w:pPr>
                    <w:r w:rsidRPr="003B60AE">
                      <w:rPr>
                        <w:rFonts w:ascii="Calibri" w:hAnsi="Calibri" w:cs="Calibri"/>
                        <w:color w:val="03C03C"/>
                        <w:sz w:val="24"/>
                      </w:rPr>
                      <w:t>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8A"/>
    <w:rsid w:val="001C778A"/>
    <w:rsid w:val="003B60AE"/>
    <w:rsid w:val="00451ABB"/>
    <w:rsid w:val="00611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D000"/>
  <w15:chartTrackingRefBased/>
  <w15:docId w15:val="{13347864-181F-4845-8713-53AA0344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B60A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0A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3B60AE"/>
    <w:rPr>
      <w:b/>
      <w:bCs/>
    </w:rPr>
  </w:style>
  <w:style w:type="character" w:customStyle="1" w:styleId="Heading2Char">
    <w:name w:val="Heading 2 Char"/>
    <w:basedOn w:val="DefaultParagraphFont"/>
    <w:link w:val="Heading2"/>
    <w:uiPriority w:val="9"/>
    <w:rsid w:val="003B60AE"/>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semiHidden/>
    <w:unhideWhenUsed/>
    <w:rsid w:val="003B60AE"/>
    <w:rPr>
      <w:color w:val="0000FF"/>
      <w:u w:val="single"/>
    </w:rPr>
  </w:style>
  <w:style w:type="paragraph" w:styleId="Header">
    <w:name w:val="header"/>
    <w:basedOn w:val="Normal"/>
    <w:link w:val="HeaderChar"/>
    <w:uiPriority w:val="99"/>
    <w:unhideWhenUsed/>
    <w:rsid w:val="003B60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3B60AE"/>
  </w:style>
  <w:style w:type="paragraph" w:styleId="Footer">
    <w:name w:val="footer"/>
    <w:basedOn w:val="Normal"/>
    <w:link w:val="FooterChar"/>
    <w:uiPriority w:val="99"/>
    <w:unhideWhenUsed/>
    <w:rsid w:val="003B60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3B6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93644">
      <w:bodyDiv w:val="1"/>
      <w:marLeft w:val="0"/>
      <w:marRight w:val="0"/>
      <w:marTop w:val="0"/>
      <w:marBottom w:val="0"/>
      <w:divBdr>
        <w:top w:val="none" w:sz="0" w:space="0" w:color="auto"/>
        <w:left w:val="none" w:sz="0" w:space="0" w:color="auto"/>
        <w:bottom w:val="none" w:sz="0" w:space="0" w:color="auto"/>
        <w:right w:val="none" w:sz="0" w:space="0" w:color="auto"/>
      </w:divBdr>
      <w:divsChild>
        <w:div w:id="871769482">
          <w:marLeft w:val="0"/>
          <w:marRight w:val="0"/>
          <w:marTop w:val="540"/>
          <w:marBottom w:val="0"/>
          <w:divBdr>
            <w:top w:val="none" w:sz="0" w:space="0" w:color="auto"/>
            <w:left w:val="none" w:sz="0" w:space="0" w:color="auto"/>
            <w:bottom w:val="none" w:sz="0" w:space="0" w:color="auto"/>
            <w:right w:val="none" w:sz="0" w:space="0" w:color="auto"/>
          </w:divBdr>
          <w:divsChild>
            <w:div w:id="711926157">
              <w:marLeft w:val="0"/>
              <w:marRight w:val="0"/>
              <w:marTop w:val="0"/>
              <w:marBottom w:val="0"/>
              <w:divBdr>
                <w:top w:val="none" w:sz="0" w:space="0" w:color="auto"/>
                <w:left w:val="none" w:sz="0" w:space="0" w:color="auto"/>
                <w:bottom w:val="none" w:sz="0" w:space="0" w:color="auto"/>
                <w:right w:val="none" w:sz="0" w:space="0" w:color="auto"/>
              </w:divBdr>
              <w:divsChild>
                <w:div w:id="2012558374">
                  <w:marLeft w:val="0"/>
                  <w:marRight w:val="0"/>
                  <w:marTop w:val="0"/>
                  <w:marBottom w:val="0"/>
                  <w:divBdr>
                    <w:top w:val="none" w:sz="0" w:space="0" w:color="auto"/>
                    <w:left w:val="none" w:sz="0" w:space="0" w:color="auto"/>
                    <w:bottom w:val="none" w:sz="0" w:space="0" w:color="auto"/>
                    <w:right w:val="none" w:sz="0" w:space="0" w:color="auto"/>
                  </w:divBdr>
                  <w:divsChild>
                    <w:div w:id="748356638">
                      <w:marLeft w:val="0"/>
                      <w:marRight w:val="0"/>
                      <w:marTop w:val="0"/>
                      <w:marBottom w:val="0"/>
                      <w:divBdr>
                        <w:top w:val="none" w:sz="0" w:space="0" w:color="auto"/>
                        <w:left w:val="none" w:sz="0" w:space="0" w:color="auto"/>
                        <w:bottom w:val="none" w:sz="0" w:space="0" w:color="auto"/>
                        <w:right w:val="none" w:sz="0" w:space="0" w:color="auto"/>
                      </w:divBdr>
                      <w:divsChild>
                        <w:div w:id="1572346596">
                          <w:marLeft w:val="0"/>
                          <w:marRight w:val="0"/>
                          <w:marTop w:val="0"/>
                          <w:marBottom w:val="0"/>
                          <w:divBdr>
                            <w:top w:val="none" w:sz="0" w:space="0" w:color="auto"/>
                            <w:left w:val="none" w:sz="0" w:space="0" w:color="auto"/>
                            <w:bottom w:val="none" w:sz="0" w:space="0" w:color="auto"/>
                            <w:right w:val="none" w:sz="0" w:space="0" w:color="auto"/>
                          </w:divBdr>
                          <w:divsChild>
                            <w:div w:id="14706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3855">
          <w:marLeft w:val="0"/>
          <w:marRight w:val="0"/>
          <w:marTop w:val="540"/>
          <w:marBottom w:val="0"/>
          <w:divBdr>
            <w:top w:val="none" w:sz="0" w:space="0" w:color="auto"/>
            <w:left w:val="none" w:sz="0" w:space="0" w:color="auto"/>
            <w:bottom w:val="none" w:sz="0" w:space="0" w:color="auto"/>
            <w:right w:val="none" w:sz="0" w:space="0" w:color="auto"/>
          </w:divBdr>
        </w:div>
        <w:div w:id="1086684740">
          <w:marLeft w:val="0"/>
          <w:marRight w:val="0"/>
          <w:marTop w:val="540"/>
          <w:marBottom w:val="0"/>
          <w:divBdr>
            <w:top w:val="none" w:sz="0" w:space="0" w:color="auto"/>
            <w:left w:val="none" w:sz="0" w:space="0" w:color="auto"/>
            <w:bottom w:val="none" w:sz="0" w:space="0" w:color="auto"/>
            <w:right w:val="none" w:sz="0" w:space="0" w:color="auto"/>
          </w:divBdr>
          <w:divsChild>
            <w:div w:id="1958675338">
              <w:marLeft w:val="0"/>
              <w:marRight w:val="0"/>
              <w:marTop w:val="0"/>
              <w:marBottom w:val="0"/>
              <w:divBdr>
                <w:top w:val="none" w:sz="0" w:space="0" w:color="auto"/>
                <w:left w:val="none" w:sz="0" w:space="0" w:color="auto"/>
                <w:bottom w:val="none" w:sz="0" w:space="0" w:color="auto"/>
                <w:right w:val="none" w:sz="0" w:space="0" w:color="auto"/>
              </w:divBdr>
              <w:divsChild>
                <w:div w:id="956180993">
                  <w:marLeft w:val="0"/>
                  <w:marRight w:val="0"/>
                  <w:marTop w:val="0"/>
                  <w:marBottom w:val="0"/>
                  <w:divBdr>
                    <w:top w:val="none" w:sz="0" w:space="0" w:color="auto"/>
                    <w:left w:val="none" w:sz="0" w:space="0" w:color="auto"/>
                    <w:bottom w:val="none" w:sz="0" w:space="0" w:color="auto"/>
                    <w:right w:val="none" w:sz="0" w:space="0" w:color="auto"/>
                  </w:divBdr>
                  <w:divsChild>
                    <w:div w:id="614555356">
                      <w:marLeft w:val="0"/>
                      <w:marRight w:val="0"/>
                      <w:marTop w:val="0"/>
                      <w:marBottom w:val="0"/>
                      <w:divBdr>
                        <w:top w:val="none" w:sz="0" w:space="0" w:color="auto"/>
                        <w:left w:val="none" w:sz="0" w:space="0" w:color="auto"/>
                        <w:bottom w:val="none" w:sz="0" w:space="0" w:color="auto"/>
                        <w:right w:val="none" w:sz="0" w:space="0" w:color="auto"/>
                      </w:divBdr>
                      <w:divsChild>
                        <w:div w:id="9993666">
                          <w:marLeft w:val="0"/>
                          <w:marRight w:val="0"/>
                          <w:marTop w:val="0"/>
                          <w:marBottom w:val="0"/>
                          <w:divBdr>
                            <w:top w:val="none" w:sz="0" w:space="0" w:color="auto"/>
                            <w:left w:val="none" w:sz="0" w:space="0" w:color="auto"/>
                            <w:bottom w:val="none" w:sz="0" w:space="0" w:color="auto"/>
                            <w:right w:val="none" w:sz="0" w:space="0" w:color="auto"/>
                          </w:divBdr>
                          <w:divsChild>
                            <w:div w:id="8735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855684">
          <w:marLeft w:val="0"/>
          <w:marRight w:val="0"/>
          <w:marTop w:val="540"/>
          <w:marBottom w:val="0"/>
          <w:divBdr>
            <w:top w:val="none" w:sz="0" w:space="0" w:color="auto"/>
            <w:left w:val="none" w:sz="0" w:space="0" w:color="auto"/>
            <w:bottom w:val="none" w:sz="0" w:space="0" w:color="auto"/>
            <w:right w:val="none" w:sz="0" w:space="0" w:color="auto"/>
          </w:divBdr>
        </w:div>
        <w:div w:id="180708396">
          <w:marLeft w:val="0"/>
          <w:marRight w:val="0"/>
          <w:marTop w:val="540"/>
          <w:marBottom w:val="0"/>
          <w:divBdr>
            <w:top w:val="none" w:sz="0" w:space="0" w:color="auto"/>
            <w:left w:val="none" w:sz="0" w:space="0" w:color="auto"/>
            <w:bottom w:val="none" w:sz="0" w:space="0" w:color="auto"/>
            <w:right w:val="none" w:sz="0" w:space="0" w:color="auto"/>
          </w:divBdr>
          <w:divsChild>
            <w:div w:id="1528331623">
              <w:marLeft w:val="0"/>
              <w:marRight w:val="0"/>
              <w:marTop w:val="0"/>
              <w:marBottom w:val="0"/>
              <w:divBdr>
                <w:top w:val="none" w:sz="0" w:space="0" w:color="auto"/>
                <w:left w:val="none" w:sz="0" w:space="0" w:color="auto"/>
                <w:bottom w:val="none" w:sz="0" w:space="0" w:color="auto"/>
                <w:right w:val="none" w:sz="0" w:space="0" w:color="auto"/>
              </w:divBdr>
              <w:divsChild>
                <w:div w:id="1512838001">
                  <w:marLeft w:val="0"/>
                  <w:marRight w:val="0"/>
                  <w:marTop w:val="0"/>
                  <w:marBottom w:val="0"/>
                  <w:divBdr>
                    <w:top w:val="none" w:sz="0" w:space="0" w:color="auto"/>
                    <w:left w:val="none" w:sz="0" w:space="0" w:color="auto"/>
                    <w:bottom w:val="none" w:sz="0" w:space="0" w:color="auto"/>
                    <w:right w:val="none" w:sz="0" w:space="0" w:color="auto"/>
                  </w:divBdr>
                  <w:divsChild>
                    <w:div w:id="465514335">
                      <w:marLeft w:val="0"/>
                      <w:marRight w:val="0"/>
                      <w:marTop w:val="0"/>
                      <w:marBottom w:val="0"/>
                      <w:divBdr>
                        <w:top w:val="none" w:sz="0" w:space="0" w:color="auto"/>
                        <w:left w:val="none" w:sz="0" w:space="0" w:color="auto"/>
                        <w:bottom w:val="none" w:sz="0" w:space="0" w:color="auto"/>
                        <w:right w:val="none" w:sz="0" w:space="0" w:color="auto"/>
                      </w:divBdr>
                      <w:divsChild>
                        <w:div w:id="1481582872">
                          <w:marLeft w:val="0"/>
                          <w:marRight w:val="0"/>
                          <w:marTop w:val="0"/>
                          <w:marBottom w:val="0"/>
                          <w:divBdr>
                            <w:top w:val="none" w:sz="0" w:space="0" w:color="auto"/>
                            <w:left w:val="none" w:sz="0" w:space="0" w:color="auto"/>
                            <w:bottom w:val="none" w:sz="0" w:space="0" w:color="auto"/>
                            <w:right w:val="none" w:sz="0" w:space="0" w:color="auto"/>
                          </w:divBdr>
                          <w:divsChild>
                            <w:div w:id="13262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037685">
          <w:marLeft w:val="0"/>
          <w:marRight w:val="0"/>
          <w:marTop w:val="540"/>
          <w:marBottom w:val="0"/>
          <w:divBdr>
            <w:top w:val="none" w:sz="0" w:space="0" w:color="auto"/>
            <w:left w:val="none" w:sz="0" w:space="0" w:color="auto"/>
            <w:bottom w:val="none" w:sz="0" w:space="0" w:color="auto"/>
            <w:right w:val="none" w:sz="0" w:space="0" w:color="auto"/>
          </w:divBdr>
        </w:div>
      </w:divsChild>
    </w:div>
    <w:div w:id="1322200104">
      <w:bodyDiv w:val="1"/>
      <w:marLeft w:val="0"/>
      <w:marRight w:val="0"/>
      <w:marTop w:val="0"/>
      <w:marBottom w:val="0"/>
      <w:divBdr>
        <w:top w:val="none" w:sz="0" w:space="0" w:color="auto"/>
        <w:left w:val="none" w:sz="0" w:space="0" w:color="auto"/>
        <w:bottom w:val="none" w:sz="0" w:space="0" w:color="auto"/>
        <w:right w:val="none" w:sz="0" w:space="0" w:color="auto"/>
      </w:divBdr>
    </w:div>
    <w:div w:id="1552573376">
      <w:bodyDiv w:val="1"/>
      <w:marLeft w:val="0"/>
      <w:marRight w:val="0"/>
      <w:marTop w:val="0"/>
      <w:marBottom w:val="0"/>
      <w:divBdr>
        <w:top w:val="none" w:sz="0" w:space="0" w:color="auto"/>
        <w:left w:val="none" w:sz="0" w:space="0" w:color="auto"/>
        <w:bottom w:val="none" w:sz="0" w:space="0" w:color="auto"/>
        <w:right w:val="none" w:sz="0" w:space="0" w:color="auto"/>
      </w:divBdr>
    </w:div>
    <w:div w:id="18181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4.jpg@01D71117.F7B9ADE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679</Words>
  <Characters>3740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Casado Herranz, Ana Belen</dc:creator>
  <cp:keywords/>
  <dc:description/>
  <cp:lastModifiedBy>Casado Herranz, Ana Belen</cp:lastModifiedBy>
  <cp:revision>3</cp:revision>
  <dcterms:created xsi:type="dcterms:W3CDTF">2021-04-12T23:11:00Z</dcterms:created>
  <dcterms:modified xsi:type="dcterms:W3CDTF">2021-04-12T23:19:00Z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4a5f65-4bbe-4bbe-bb66-e23e35795661_Enabled">
    <vt:lpwstr>true</vt:lpwstr>
  </property>
  <property fmtid="{D5CDD505-2E9C-101B-9397-08002B2CF9AE}" pid="3" name="MSIP_Label_794a5f65-4bbe-4bbe-bb66-e23e35795661_SetDate">
    <vt:lpwstr>2021-04-12T23:19:12Z</vt:lpwstr>
  </property>
  <property fmtid="{D5CDD505-2E9C-101B-9397-08002B2CF9AE}" pid="4" name="MSIP_Label_794a5f65-4bbe-4bbe-bb66-e23e35795661_Method">
    <vt:lpwstr>Privileged</vt:lpwstr>
  </property>
  <property fmtid="{D5CDD505-2E9C-101B-9397-08002B2CF9AE}" pid="5" name="MSIP_Label_794a5f65-4bbe-4bbe-bb66-e23e35795661_Name">
    <vt:lpwstr>794a5f65-4bbe-4bbe-bb66-e23e35795661</vt:lpwstr>
  </property>
  <property fmtid="{D5CDD505-2E9C-101B-9397-08002B2CF9AE}" pid="6" name="MSIP_Label_794a5f65-4bbe-4bbe-bb66-e23e35795661_SiteId">
    <vt:lpwstr>a00de4ec-48a8-43a6-be74-e31274e2060d</vt:lpwstr>
  </property>
  <property fmtid="{D5CDD505-2E9C-101B-9397-08002B2CF9AE}" pid="7" name="MSIP_Label_794a5f65-4bbe-4bbe-bb66-e23e35795661_ActionId">
    <vt:lpwstr>06244422-5f88-46fe-80ca-b68f93b765ee</vt:lpwstr>
  </property>
  <property fmtid="{D5CDD505-2E9C-101B-9397-08002B2CF9AE}" pid="8" name="MSIP_Label_794a5f65-4bbe-4bbe-bb66-e23e35795661_ContentBits">
    <vt:lpwstr>1</vt:lpwstr>
  </property>
</Properties>
</file>